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8080C" w14:textId="77777777" w:rsidR="00A3182D" w:rsidRPr="008C43FB" w:rsidRDefault="000A2644" w:rsidP="000B3EC2">
      <w:pPr>
        <w:pStyle w:val="Titre"/>
        <w:jc w:val="both"/>
        <w:rPr>
          <w:b/>
          <w:sz w:val="36"/>
          <w:lang w:val="en-US"/>
        </w:rPr>
      </w:pPr>
      <w:bookmarkStart w:id="0" w:name="_Hlk223597495"/>
      <w:r w:rsidRPr="008C43FB">
        <w:rPr>
          <w:b/>
          <w:sz w:val="36"/>
          <w:lang w:val="en-US"/>
        </w:rPr>
        <w:t xml:space="preserve">Specific congenital anomalies associated with maternal Multiple Sclerosis: A </w:t>
      </w:r>
      <w:proofErr w:type="spellStart"/>
      <w:r w:rsidRPr="008C43FB">
        <w:rPr>
          <w:b/>
          <w:sz w:val="36"/>
          <w:lang w:val="en-US"/>
        </w:rPr>
        <w:t>ConcePTION</w:t>
      </w:r>
      <w:proofErr w:type="spellEnd"/>
      <w:r w:rsidRPr="008C43FB">
        <w:rPr>
          <w:b/>
          <w:sz w:val="36"/>
          <w:lang w:val="en-US"/>
        </w:rPr>
        <w:t xml:space="preserve"> European case-malformed control study</w:t>
      </w:r>
    </w:p>
    <w:p w14:paraId="57C8080D" w14:textId="4EC6CB0E" w:rsidR="00A3182D" w:rsidRPr="008C43FB" w:rsidRDefault="000A2644" w:rsidP="00A3182D">
      <w:pPr>
        <w:jc w:val="both"/>
        <w:rPr>
          <w:rFonts w:ascii="Arial" w:hAnsi="Arial" w:cs="Arial"/>
          <w:sz w:val="20"/>
          <w:szCs w:val="20"/>
          <w:lang w:val="en-US"/>
        </w:rPr>
      </w:pPr>
      <w:bookmarkStart w:id="1" w:name="_Hlk230100086"/>
      <w:bookmarkEnd w:id="0"/>
      <w:r w:rsidRPr="008C43FB">
        <w:rPr>
          <w:rFonts w:ascii="Arial" w:hAnsi="Arial" w:cs="Arial"/>
          <w:sz w:val="20"/>
          <w:szCs w:val="20"/>
          <w:lang w:val="en-US"/>
        </w:rPr>
        <w:t>Marie Beslay</w:t>
      </w:r>
      <w:r w:rsidRPr="008C43FB">
        <w:rPr>
          <w:rFonts w:ascii="Arial" w:hAnsi="Arial" w:cs="Arial"/>
          <w:sz w:val="20"/>
          <w:szCs w:val="20"/>
          <w:vertAlign w:val="superscript"/>
          <w:lang w:val="en-US"/>
        </w:rPr>
        <w:t>1,2</w:t>
      </w:r>
      <w:r w:rsidRPr="008C43FB">
        <w:rPr>
          <w:rFonts w:ascii="Arial" w:hAnsi="Arial" w:cs="Arial"/>
          <w:sz w:val="20"/>
          <w:szCs w:val="20"/>
          <w:lang w:val="en-US"/>
        </w:rPr>
        <w:t>, Erika Cifuentes-Castro</w:t>
      </w:r>
      <w:r w:rsidRPr="008C43FB">
        <w:rPr>
          <w:rFonts w:ascii="Arial" w:hAnsi="Arial" w:cs="Arial"/>
          <w:sz w:val="20"/>
          <w:szCs w:val="20"/>
          <w:vertAlign w:val="superscript"/>
          <w:lang w:val="en-US"/>
        </w:rPr>
        <w:t>1,2</w:t>
      </w:r>
      <w:r w:rsidRPr="008C43FB">
        <w:rPr>
          <w:rFonts w:ascii="Arial" w:hAnsi="Arial" w:cs="Arial"/>
          <w:sz w:val="20"/>
          <w:szCs w:val="20"/>
          <w:lang w:val="en-US"/>
        </w:rPr>
        <w:t>, Anna-Belle Beau</w:t>
      </w:r>
      <w:r w:rsidRPr="008C43FB">
        <w:rPr>
          <w:rFonts w:ascii="Arial" w:hAnsi="Arial" w:cs="Arial"/>
          <w:sz w:val="20"/>
          <w:szCs w:val="20"/>
          <w:vertAlign w:val="superscript"/>
          <w:lang w:val="en-US"/>
        </w:rPr>
        <w:t>1,2</w:t>
      </w:r>
      <w:r w:rsidRPr="008C43FB">
        <w:rPr>
          <w:rFonts w:ascii="Arial" w:hAnsi="Arial" w:cs="Arial"/>
          <w:sz w:val="20"/>
          <w:szCs w:val="20"/>
          <w:lang w:val="en-US"/>
        </w:rPr>
        <w:t>, Justine Benevent</w:t>
      </w:r>
      <w:r w:rsidRPr="008C43FB">
        <w:rPr>
          <w:rFonts w:ascii="Arial" w:hAnsi="Arial" w:cs="Arial"/>
          <w:sz w:val="20"/>
          <w:szCs w:val="20"/>
          <w:vertAlign w:val="superscript"/>
          <w:lang w:val="en-US"/>
        </w:rPr>
        <w:t>1,2</w:t>
      </w:r>
      <w:r w:rsidRPr="008C43FB">
        <w:rPr>
          <w:rFonts w:ascii="Arial" w:hAnsi="Arial" w:cs="Arial"/>
          <w:sz w:val="20"/>
          <w:szCs w:val="20"/>
          <w:lang w:val="en-US"/>
        </w:rPr>
        <w:t>, Ingeborg Barisic</w:t>
      </w:r>
      <w:r w:rsidR="001527B8" w:rsidRPr="008C43FB">
        <w:rPr>
          <w:rFonts w:ascii="Arial" w:hAnsi="Arial" w:cs="Arial"/>
          <w:sz w:val="20"/>
          <w:szCs w:val="20"/>
          <w:vertAlign w:val="superscript"/>
          <w:lang w:val="en-US"/>
        </w:rPr>
        <w:t>3</w:t>
      </w:r>
      <w:r w:rsidRPr="008C43FB">
        <w:rPr>
          <w:rFonts w:ascii="Arial" w:hAnsi="Arial" w:cs="Arial"/>
          <w:sz w:val="20"/>
          <w:szCs w:val="20"/>
          <w:lang w:val="en-US"/>
        </w:rPr>
        <w:t xml:space="preserve">, </w:t>
      </w:r>
      <w:proofErr w:type="spellStart"/>
      <w:r w:rsidRPr="008C43FB">
        <w:rPr>
          <w:rFonts w:ascii="Arial" w:hAnsi="Arial" w:cs="Arial"/>
          <w:sz w:val="20"/>
          <w:szCs w:val="20"/>
          <w:lang w:val="en-US"/>
        </w:rPr>
        <w:t>Jorieke</w:t>
      </w:r>
      <w:proofErr w:type="spellEnd"/>
      <w:r w:rsidR="00A3182D" w:rsidRPr="008C43FB">
        <w:rPr>
          <w:rFonts w:ascii="Arial" w:hAnsi="Arial" w:cs="Arial"/>
          <w:sz w:val="20"/>
          <w:szCs w:val="20"/>
          <w:lang w:val="en-US"/>
        </w:rPr>
        <w:t xml:space="preserve"> </w:t>
      </w:r>
      <w:r w:rsidR="00892FCC" w:rsidRPr="008C43FB">
        <w:rPr>
          <w:rFonts w:ascii="Arial" w:hAnsi="Arial" w:cs="Arial"/>
          <w:sz w:val="20"/>
          <w:szCs w:val="20"/>
          <w:lang w:val="en-US"/>
        </w:rPr>
        <w:t>E.H.</w:t>
      </w:r>
      <w:r w:rsidR="00C37C46" w:rsidRPr="008C43FB">
        <w:rPr>
          <w:rFonts w:ascii="Arial" w:hAnsi="Arial" w:cs="Arial"/>
          <w:sz w:val="20"/>
          <w:szCs w:val="20"/>
          <w:lang w:val="en-US"/>
        </w:rPr>
        <w:t xml:space="preserve"> </w:t>
      </w:r>
      <w:r w:rsidRPr="008C43FB">
        <w:rPr>
          <w:rFonts w:ascii="Arial" w:hAnsi="Arial" w:cs="Arial"/>
          <w:sz w:val="20"/>
          <w:szCs w:val="20"/>
          <w:lang w:val="en-US"/>
        </w:rPr>
        <w:t>Bergman</w:t>
      </w:r>
      <w:r w:rsidR="001527B8" w:rsidRPr="008C43FB">
        <w:rPr>
          <w:rFonts w:ascii="Arial" w:hAnsi="Arial" w:cs="Arial"/>
          <w:sz w:val="20"/>
          <w:szCs w:val="20"/>
          <w:vertAlign w:val="superscript"/>
          <w:lang w:val="en-US"/>
        </w:rPr>
        <w:t>4</w:t>
      </w:r>
      <w:r w:rsidRPr="008C43FB">
        <w:rPr>
          <w:rFonts w:ascii="Arial" w:hAnsi="Arial" w:cs="Arial"/>
          <w:sz w:val="20"/>
          <w:szCs w:val="20"/>
          <w:lang w:val="en-US"/>
        </w:rPr>
        <w:t>, Clara Cavero-Carbonell</w:t>
      </w:r>
      <w:r w:rsidR="001527B8" w:rsidRPr="008C43FB">
        <w:rPr>
          <w:rFonts w:ascii="Arial" w:hAnsi="Arial" w:cs="Arial"/>
          <w:sz w:val="20"/>
          <w:szCs w:val="20"/>
          <w:vertAlign w:val="superscript"/>
          <w:lang w:val="en-US"/>
        </w:rPr>
        <w:t>5</w:t>
      </w:r>
      <w:r w:rsidRPr="008C43FB">
        <w:rPr>
          <w:rFonts w:ascii="Arial" w:hAnsi="Arial" w:cs="Arial"/>
          <w:sz w:val="20"/>
          <w:szCs w:val="20"/>
          <w:lang w:val="en-US"/>
        </w:rPr>
        <w:t xml:space="preserve">, </w:t>
      </w:r>
      <w:r w:rsidR="003C7311" w:rsidRPr="008C43FB">
        <w:rPr>
          <w:rFonts w:ascii="Arial" w:hAnsi="Arial" w:cs="Arial"/>
          <w:sz w:val="20"/>
          <w:szCs w:val="20"/>
          <w:lang w:val="en-US"/>
        </w:rPr>
        <w:t>Alessio Coi</w:t>
      </w:r>
      <w:r w:rsidR="001527B8" w:rsidRPr="008C43FB">
        <w:rPr>
          <w:rFonts w:ascii="Arial" w:hAnsi="Arial" w:cs="Arial"/>
          <w:sz w:val="20"/>
          <w:szCs w:val="20"/>
          <w:vertAlign w:val="superscript"/>
          <w:lang w:val="en-US"/>
        </w:rPr>
        <w:t>6</w:t>
      </w:r>
      <w:r w:rsidR="003C7311" w:rsidRPr="008C43FB">
        <w:rPr>
          <w:rFonts w:ascii="Arial" w:hAnsi="Arial" w:cs="Arial"/>
          <w:sz w:val="20"/>
          <w:szCs w:val="20"/>
          <w:lang w:val="en-US"/>
        </w:rPr>
        <w:t xml:space="preserve">, </w:t>
      </w:r>
      <w:r w:rsidRPr="008C43FB">
        <w:rPr>
          <w:rFonts w:ascii="Arial" w:hAnsi="Arial" w:cs="Arial"/>
          <w:sz w:val="20"/>
          <w:szCs w:val="20"/>
          <w:lang w:val="en-US"/>
        </w:rPr>
        <w:t>Ester Garne</w:t>
      </w:r>
      <w:r w:rsidRPr="008C43FB">
        <w:rPr>
          <w:rFonts w:ascii="Arial" w:hAnsi="Arial" w:cs="Arial"/>
          <w:sz w:val="20"/>
          <w:szCs w:val="20"/>
          <w:vertAlign w:val="superscript"/>
          <w:lang w:val="en-US"/>
        </w:rPr>
        <w:t>7</w:t>
      </w:r>
      <w:r w:rsidRPr="008C43FB">
        <w:rPr>
          <w:rFonts w:ascii="Arial" w:hAnsi="Arial" w:cs="Arial"/>
          <w:sz w:val="20"/>
          <w:szCs w:val="20"/>
          <w:lang w:val="en-US"/>
        </w:rPr>
        <w:t>, Miriam Gatt</w:t>
      </w:r>
      <w:r w:rsidRPr="008C43FB">
        <w:rPr>
          <w:rFonts w:ascii="Arial" w:hAnsi="Arial" w:cs="Arial"/>
          <w:sz w:val="20"/>
          <w:szCs w:val="20"/>
          <w:vertAlign w:val="superscript"/>
          <w:lang w:val="en-US"/>
        </w:rPr>
        <w:t>8</w:t>
      </w:r>
      <w:r w:rsidRPr="008C43FB">
        <w:rPr>
          <w:rFonts w:ascii="Arial" w:hAnsi="Arial" w:cs="Arial"/>
          <w:sz w:val="20"/>
          <w:szCs w:val="20"/>
          <w:lang w:val="en-US"/>
        </w:rPr>
        <w:t xml:space="preserve">, </w:t>
      </w:r>
      <w:r w:rsidR="004B5C89" w:rsidRPr="008C43FB">
        <w:rPr>
          <w:rFonts w:cstheme="minorHAnsi"/>
          <w:lang w:val="en-US"/>
        </w:rPr>
        <w:t>Kerstin Hellwig</w:t>
      </w:r>
      <w:r w:rsidR="004B5C89" w:rsidRPr="00EE4722">
        <w:rPr>
          <w:rFonts w:cstheme="minorHAnsi"/>
          <w:vertAlign w:val="superscript"/>
          <w:lang w:val="en-US"/>
        </w:rPr>
        <w:t>9</w:t>
      </w:r>
      <w:r w:rsidR="004B5C89" w:rsidRPr="008C43FB">
        <w:rPr>
          <w:rFonts w:cstheme="minorHAnsi"/>
          <w:lang w:val="en-US"/>
        </w:rPr>
        <w:t xml:space="preserve">, </w:t>
      </w:r>
      <w:r w:rsidRPr="008C43FB">
        <w:rPr>
          <w:rFonts w:ascii="Arial" w:hAnsi="Arial" w:cs="Arial"/>
          <w:sz w:val="20"/>
          <w:szCs w:val="20"/>
          <w:lang w:val="en-US"/>
        </w:rPr>
        <w:t>Jonathan Hoareau</w:t>
      </w:r>
      <w:r w:rsidR="004B5C89" w:rsidRPr="008C43FB">
        <w:rPr>
          <w:rFonts w:ascii="Arial" w:hAnsi="Arial" w:cs="Arial"/>
          <w:sz w:val="20"/>
          <w:szCs w:val="20"/>
          <w:vertAlign w:val="superscript"/>
          <w:lang w:val="en-US"/>
        </w:rPr>
        <w:t>10</w:t>
      </w:r>
      <w:r w:rsidRPr="008C43FB">
        <w:rPr>
          <w:rFonts w:ascii="Arial" w:hAnsi="Arial" w:cs="Arial"/>
          <w:sz w:val="20"/>
          <w:szCs w:val="20"/>
          <w:lang w:val="en-US"/>
        </w:rPr>
        <w:t>, Elly Den Hond</w:t>
      </w:r>
      <w:r w:rsidRPr="008C43FB">
        <w:rPr>
          <w:rFonts w:ascii="Arial" w:hAnsi="Arial" w:cs="Arial"/>
          <w:sz w:val="20"/>
          <w:szCs w:val="20"/>
          <w:vertAlign w:val="superscript"/>
          <w:lang w:val="en-US"/>
        </w:rPr>
        <w:t>1</w:t>
      </w:r>
      <w:r w:rsidR="004B5C89" w:rsidRPr="008C43FB">
        <w:rPr>
          <w:rFonts w:ascii="Arial" w:hAnsi="Arial" w:cs="Arial"/>
          <w:sz w:val="20"/>
          <w:szCs w:val="20"/>
          <w:vertAlign w:val="superscript"/>
          <w:lang w:val="en-US"/>
        </w:rPr>
        <w:t>1</w:t>
      </w:r>
      <w:r w:rsidRPr="008C43FB">
        <w:rPr>
          <w:rFonts w:ascii="Arial" w:hAnsi="Arial" w:cs="Arial"/>
          <w:sz w:val="20"/>
          <w:szCs w:val="20"/>
          <w:lang w:val="en-US"/>
        </w:rPr>
        <w:t>, Anna Latos-Bielenska</w:t>
      </w:r>
      <w:r w:rsidRPr="008C43FB">
        <w:rPr>
          <w:rFonts w:ascii="Arial" w:hAnsi="Arial" w:cs="Arial"/>
          <w:sz w:val="20"/>
          <w:szCs w:val="20"/>
          <w:vertAlign w:val="superscript"/>
          <w:lang w:val="en-US"/>
        </w:rPr>
        <w:t>1</w:t>
      </w:r>
      <w:r w:rsidR="004B5C89" w:rsidRPr="008C43FB">
        <w:rPr>
          <w:rFonts w:ascii="Arial" w:hAnsi="Arial" w:cs="Arial"/>
          <w:sz w:val="20"/>
          <w:szCs w:val="20"/>
          <w:vertAlign w:val="superscript"/>
          <w:lang w:val="en-US"/>
        </w:rPr>
        <w:t>2</w:t>
      </w:r>
      <w:r w:rsidRPr="008C43FB">
        <w:rPr>
          <w:rFonts w:ascii="Arial" w:hAnsi="Arial" w:cs="Arial"/>
          <w:sz w:val="20"/>
          <w:szCs w:val="20"/>
          <w:lang w:val="en-US"/>
        </w:rPr>
        <w:t>, Nathalie Lelong</w:t>
      </w:r>
      <w:r w:rsidRPr="008C43FB">
        <w:rPr>
          <w:rFonts w:ascii="Arial" w:hAnsi="Arial" w:cs="Arial"/>
          <w:sz w:val="20"/>
          <w:szCs w:val="20"/>
          <w:vertAlign w:val="superscript"/>
          <w:lang w:val="en-US"/>
        </w:rPr>
        <w:t>1</w:t>
      </w:r>
      <w:r w:rsidR="004B5C89" w:rsidRPr="008C43FB">
        <w:rPr>
          <w:rFonts w:ascii="Arial" w:hAnsi="Arial" w:cs="Arial"/>
          <w:sz w:val="20"/>
          <w:szCs w:val="20"/>
          <w:vertAlign w:val="superscript"/>
          <w:lang w:val="en-US"/>
        </w:rPr>
        <w:t>3</w:t>
      </w:r>
      <w:r w:rsidRPr="008C43FB">
        <w:rPr>
          <w:rFonts w:ascii="Arial" w:hAnsi="Arial" w:cs="Arial"/>
          <w:sz w:val="20"/>
          <w:szCs w:val="20"/>
          <w:lang w:val="en-US"/>
        </w:rPr>
        <w:t xml:space="preserve">, Mary </w:t>
      </w:r>
      <w:r w:rsidR="0051423A" w:rsidRPr="008C43FB">
        <w:rPr>
          <w:rFonts w:ascii="Arial" w:hAnsi="Arial" w:cs="Arial"/>
          <w:sz w:val="20"/>
          <w:szCs w:val="20"/>
          <w:lang w:val="en-US"/>
        </w:rPr>
        <w:t xml:space="preserve">T. </w:t>
      </w:r>
      <w:r w:rsidRPr="008C43FB">
        <w:rPr>
          <w:rFonts w:ascii="Arial" w:hAnsi="Arial" w:cs="Arial"/>
          <w:sz w:val="20"/>
          <w:szCs w:val="20"/>
          <w:lang w:val="en-US"/>
        </w:rPr>
        <w:t>O’Mahony</w:t>
      </w:r>
      <w:r w:rsidRPr="008C43FB">
        <w:rPr>
          <w:rFonts w:ascii="Arial" w:hAnsi="Arial" w:cs="Arial"/>
          <w:sz w:val="20"/>
          <w:szCs w:val="20"/>
          <w:vertAlign w:val="superscript"/>
          <w:lang w:val="en-US"/>
        </w:rPr>
        <w:t>1</w:t>
      </w:r>
      <w:r w:rsidR="004B5C89" w:rsidRPr="008C43FB">
        <w:rPr>
          <w:rFonts w:ascii="Arial" w:hAnsi="Arial" w:cs="Arial"/>
          <w:sz w:val="20"/>
          <w:szCs w:val="20"/>
          <w:vertAlign w:val="superscript"/>
          <w:lang w:val="en-US"/>
        </w:rPr>
        <w:t>4</w:t>
      </w:r>
      <w:r w:rsidRPr="008C43FB">
        <w:rPr>
          <w:rFonts w:ascii="Arial" w:hAnsi="Arial" w:cs="Arial"/>
          <w:sz w:val="20"/>
          <w:szCs w:val="20"/>
          <w:lang w:val="en-US"/>
        </w:rPr>
        <w:t>, Amanda J. Neville</w:t>
      </w:r>
      <w:r w:rsidRPr="008C43FB">
        <w:rPr>
          <w:rFonts w:ascii="Arial" w:hAnsi="Arial" w:cs="Arial"/>
          <w:sz w:val="20"/>
          <w:szCs w:val="20"/>
          <w:vertAlign w:val="superscript"/>
          <w:lang w:val="en-US"/>
        </w:rPr>
        <w:t>1</w:t>
      </w:r>
      <w:r w:rsidR="004B5C89" w:rsidRPr="008C43FB">
        <w:rPr>
          <w:rFonts w:ascii="Arial" w:hAnsi="Arial" w:cs="Arial"/>
          <w:sz w:val="20"/>
          <w:szCs w:val="20"/>
          <w:vertAlign w:val="superscript"/>
          <w:lang w:val="en-US"/>
        </w:rPr>
        <w:t>5</w:t>
      </w:r>
      <w:r w:rsidRPr="008C43FB">
        <w:rPr>
          <w:rFonts w:ascii="Arial" w:hAnsi="Arial" w:cs="Arial"/>
          <w:sz w:val="20"/>
          <w:szCs w:val="20"/>
          <w:lang w:val="en-US"/>
        </w:rPr>
        <w:t>, </w:t>
      </w:r>
      <w:proofErr w:type="spellStart"/>
      <w:r w:rsidRPr="008C43FB">
        <w:rPr>
          <w:rFonts w:ascii="Arial" w:hAnsi="Arial" w:cs="Arial"/>
          <w:bCs/>
          <w:sz w:val="20"/>
          <w:szCs w:val="20"/>
          <w:lang w:val="en-US"/>
        </w:rPr>
        <w:t>Anke</w:t>
      </w:r>
      <w:proofErr w:type="spellEnd"/>
      <w:r w:rsidRPr="008C43FB">
        <w:rPr>
          <w:rFonts w:ascii="Arial" w:hAnsi="Arial" w:cs="Arial"/>
          <w:bCs/>
          <w:sz w:val="20"/>
          <w:szCs w:val="20"/>
          <w:lang w:val="en-US"/>
        </w:rPr>
        <w:t xml:space="preserve"> Rissmann</w:t>
      </w:r>
      <w:r w:rsidRPr="008C43FB">
        <w:rPr>
          <w:rFonts w:ascii="Arial" w:hAnsi="Arial" w:cs="Arial"/>
          <w:bCs/>
          <w:sz w:val="20"/>
          <w:szCs w:val="20"/>
          <w:vertAlign w:val="superscript"/>
          <w:lang w:val="en-US"/>
        </w:rPr>
        <w:t>1</w:t>
      </w:r>
      <w:r w:rsidR="004B5C89" w:rsidRPr="008C43FB">
        <w:rPr>
          <w:rFonts w:ascii="Arial" w:hAnsi="Arial" w:cs="Arial"/>
          <w:bCs/>
          <w:sz w:val="20"/>
          <w:szCs w:val="20"/>
          <w:vertAlign w:val="superscript"/>
          <w:lang w:val="en-US"/>
        </w:rPr>
        <w:t>6</w:t>
      </w:r>
      <w:r w:rsidRPr="008C43FB">
        <w:rPr>
          <w:rFonts w:ascii="Arial" w:hAnsi="Arial" w:cs="Arial"/>
          <w:bCs/>
          <w:sz w:val="20"/>
          <w:szCs w:val="20"/>
          <w:lang w:val="en-US"/>
        </w:rPr>
        <w:t xml:space="preserve">, </w:t>
      </w:r>
      <w:bookmarkStart w:id="2" w:name="_Hlk158716742"/>
      <w:r w:rsidR="001527B8" w:rsidRPr="008C43FB">
        <w:rPr>
          <w:rFonts w:ascii="Arial" w:hAnsi="Arial" w:cs="Arial"/>
          <w:bCs/>
          <w:sz w:val="20"/>
          <w:szCs w:val="20"/>
          <w:lang w:val="en-US"/>
        </w:rPr>
        <w:t>Joanna Sichitiu</w:t>
      </w:r>
      <w:r w:rsidR="001527B8" w:rsidRPr="008C43FB">
        <w:rPr>
          <w:rFonts w:ascii="Arial" w:hAnsi="Arial" w:cs="Arial"/>
          <w:bCs/>
          <w:sz w:val="20"/>
          <w:szCs w:val="20"/>
          <w:vertAlign w:val="superscript"/>
          <w:lang w:val="en-US"/>
        </w:rPr>
        <w:t>1</w:t>
      </w:r>
      <w:r w:rsidR="004B5C89" w:rsidRPr="008C43FB">
        <w:rPr>
          <w:rFonts w:ascii="Arial" w:hAnsi="Arial" w:cs="Arial"/>
          <w:bCs/>
          <w:sz w:val="20"/>
          <w:szCs w:val="20"/>
          <w:vertAlign w:val="superscript"/>
          <w:lang w:val="en-US"/>
        </w:rPr>
        <w:t>7</w:t>
      </w:r>
      <w:r w:rsidR="001527B8" w:rsidRPr="008C43FB">
        <w:rPr>
          <w:rFonts w:ascii="Arial" w:hAnsi="Arial" w:cs="Arial"/>
          <w:bCs/>
          <w:sz w:val="20"/>
          <w:szCs w:val="20"/>
          <w:lang w:val="en-US"/>
        </w:rPr>
        <w:t>,</w:t>
      </w:r>
      <w:bookmarkEnd w:id="2"/>
      <w:r w:rsidRPr="008C43FB">
        <w:rPr>
          <w:rFonts w:ascii="Arial" w:hAnsi="Arial" w:cs="Arial"/>
          <w:sz w:val="20"/>
          <w:szCs w:val="20"/>
          <w:lang w:val="en-US"/>
        </w:rPr>
        <w:t xml:space="preserve"> </w:t>
      </w:r>
      <w:r w:rsidR="004B5C89" w:rsidRPr="008C43FB">
        <w:rPr>
          <w:rFonts w:cstheme="minorHAnsi"/>
          <w:lang w:val="en-US"/>
        </w:rPr>
        <w:t>Sandra Vukusic</w:t>
      </w:r>
      <w:r w:rsidR="004B5C89" w:rsidRPr="008C43FB">
        <w:rPr>
          <w:rFonts w:cstheme="minorHAnsi"/>
          <w:vertAlign w:val="superscript"/>
          <w:lang w:val="en-US"/>
        </w:rPr>
        <w:t>18</w:t>
      </w:r>
      <w:r w:rsidR="004B5C89" w:rsidRPr="008C43FB">
        <w:rPr>
          <w:rFonts w:cstheme="minorHAnsi"/>
          <w:lang w:val="en-US"/>
        </w:rPr>
        <w:t xml:space="preserve">, </w:t>
      </w:r>
      <w:r w:rsidRPr="008C43FB">
        <w:rPr>
          <w:rFonts w:ascii="Arial" w:hAnsi="Arial" w:cs="Arial"/>
          <w:sz w:val="20"/>
          <w:szCs w:val="20"/>
          <w:lang w:val="en-US"/>
        </w:rPr>
        <w:t>Helen Dolk</w:t>
      </w:r>
      <w:r w:rsidRPr="008C43FB">
        <w:rPr>
          <w:rFonts w:ascii="Arial" w:hAnsi="Arial" w:cs="Arial"/>
          <w:sz w:val="20"/>
          <w:szCs w:val="20"/>
          <w:vertAlign w:val="superscript"/>
          <w:lang w:val="en-US"/>
        </w:rPr>
        <w:t>1</w:t>
      </w:r>
      <w:r w:rsidR="004B5C89" w:rsidRPr="008C43FB">
        <w:rPr>
          <w:rFonts w:ascii="Arial" w:hAnsi="Arial" w:cs="Arial"/>
          <w:sz w:val="20"/>
          <w:szCs w:val="20"/>
          <w:vertAlign w:val="superscript"/>
          <w:lang w:val="en-US"/>
        </w:rPr>
        <w:t>9</w:t>
      </w:r>
      <w:r w:rsidRPr="008C43FB">
        <w:rPr>
          <w:rFonts w:ascii="Arial" w:hAnsi="Arial" w:cs="Arial"/>
          <w:sz w:val="20"/>
          <w:szCs w:val="20"/>
          <w:lang w:val="en-US"/>
        </w:rPr>
        <w:t xml:space="preserve">, </w:t>
      </w:r>
      <w:r w:rsidR="000A0A2A" w:rsidRPr="008C43FB">
        <w:rPr>
          <w:rFonts w:ascii="Arial" w:hAnsi="Arial" w:cs="Arial"/>
          <w:sz w:val="20"/>
          <w:szCs w:val="20"/>
          <w:lang w:val="en-US"/>
        </w:rPr>
        <w:t>Joan Morris</w:t>
      </w:r>
      <w:r w:rsidR="004B5C89" w:rsidRPr="008C43FB">
        <w:rPr>
          <w:rFonts w:ascii="Arial" w:hAnsi="Arial" w:cs="Arial"/>
          <w:sz w:val="20"/>
          <w:szCs w:val="20"/>
          <w:vertAlign w:val="superscript"/>
          <w:lang w:val="en-US"/>
        </w:rPr>
        <w:t>20</w:t>
      </w:r>
      <w:r w:rsidR="000A0A2A" w:rsidRPr="008C43FB">
        <w:rPr>
          <w:rFonts w:ascii="Arial" w:hAnsi="Arial" w:cs="Arial"/>
          <w:sz w:val="20"/>
          <w:szCs w:val="20"/>
          <w:lang w:val="en-US"/>
        </w:rPr>
        <w:t>,</w:t>
      </w:r>
      <w:r w:rsidR="000A0A2A" w:rsidRPr="008C43FB">
        <w:rPr>
          <w:rFonts w:ascii="Arial" w:hAnsi="Arial" w:cs="Arial"/>
          <w:sz w:val="20"/>
          <w:szCs w:val="20"/>
          <w:vertAlign w:val="superscript"/>
          <w:lang w:val="en-US"/>
        </w:rPr>
        <w:t xml:space="preserve"> </w:t>
      </w:r>
      <w:r w:rsidRPr="008C43FB">
        <w:rPr>
          <w:rFonts w:ascii="Arial" w:hAnsi="Arial" w:cs="Arial"/>
          <w:sz w:val="20"/>
          <w:szCs w:val="20"/>
          <w:lang w:val="en-US"/>
        </w:rPr>
        <w:t>Maria Loane</w:t>
      </w:r>
      <w:r w:rsidR="004B5C89" w:rsidRPr="008C43FB">
        <w:rPr>
          <w:rFonts w:ascii="Arial" w:hAnsi="Arial" w:cs="Arial"/>
          <w:sz w:val="20"/>
          <w:szCs w:val="20"/>
          <w:vertAlign w:val="superscript"/>
          <w:lang w:val="en-US"/>
        </w:rPr>
        <w:t>21</w:t>
      </w:r>
      <w:r w:rsidRPr="008C43FB">
        <w:rPr>
          <w:rFonts w:ascii="Arial" w:hAnsi="Arial" w:cs="Arial"/>
          <w:sz w:val="20"/>
          <w:szCs w:val="20"/>
          <w:lang w:val="en-US"/>
        </w:rPr>
        <w:t>, Christine Damase-Michel</w:t>
      </w:r>
      <w:r w:rsidRPr="008C43FB">
        <w:rPr>
          <w:rFonts w:ascii="Arial" w:hAnsi="Arial" w:cs="Arial"/>
          <w:sz w:val="20"/>
          <w:szCs w:val="20"/>
          <w:vertAlign w:val="superscript"/>
          <w:lang w:val="en-US"/>
        </w:rPr>
        <w:t>1,2</w:t>
      </w:r>
    </w:p>
    <w:bookmarkEnd w:id="1"/>
    <w:p w14:paraId="57C8080E" w14:textId="77777777" w:rsidR="00A3182D" w:rsidRPr="008C43FB" w:rsidRDefault="000A2644" w:rsidP="00A3182D">
      <w:pPr>
        <w:pStyle w:val="Paragraphedeliste"/>
        <w:numPr>
          <w:ilvl w:val="0"/>
          <w:numId w:val="8"/>
        </w:numPr>
        <w:spacing w:before="0" w:after="0" w:line="240" w:lineRule="auto"/>
        <w:textAlignment w:val="auto"/>
        <w:outlineLvl w:val="9"/>
        <w:rPr>
          <w:rFonts w:ascii="Arial" w:hAnsi="Arial" w:cs="Arial"/>
          <w:bCs/>
          <w:sz w:val="20"/>
          <w:szCs w:val="20"/>
          <w:lang w:val="fr-FR"/>
        </w:rPr>
      </w:pPr>
      <w:r w:rsidRPr="008C43FB">
        <w:rPr>
          <w:rFonts w:ascii="Arial" w:hAnsi="Arial" w:cs="Arial"/>
          <w:bCs/>
          <w:sz w:val="20"/>
          <w:szCs w:val="20"/>
          <w:lang w:val="fr-FR"/>
        </w:rPr>
        <w:t>CERPOP, Inserm U1295, Université de Toulouse Paul Sabatier, Toulouse, France</w:t>
      </w:r>
    </w:p>
    <w:p w14:paraId="57C8080F"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fr-FR"/>
        </w:rPr>
      </w:pPr>
      <w:r w:rsidRPr="008C43FB">
        <w:rPr>
          <w:rFonts w:ascii="Arial" w:hAnsi="Arial" w:cs="Arial"/>
          <w:bCs/>
          <w:sz w:val="20"/>
          <w:szCs w:val="20"/>
          <w:lang w:val="fr-FR"/>
        </w:rPr>
        <w:t>Service de Pharmacologie Clinique, CHU de Toulouse, Université Toulouse 3, Toulouse, France</w:t>
      </w:r>
    </w:p>
    <w:p w14:paraId="57C80810"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bCs/>
          <w:sz w:val="20"/>
          <w:szCs w:val="20"/>
          <w:lang w:val="en-US"/>
        </w:rPr>
        <w:t>Children's Hospital Zagreb, Centre of Excellence for Reproductive and Regenerative Medicine, Medical School University of Zagreb, Zagreb, Croatia</w:t>
      </w:r>
    </w:p>
    <w:p w14:paraId="57C80811"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Department of Genetics, EUROCAT Northern Netherlands, University of Groningen, University Medical Center Groningen, Groningen, The Netherlands</w:t>
      </w:r>
    </w:p>
    <w:p w14:paraId="57C80812"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Rare Diseases Research Unit, Foundation for the Promotion of Health and Biomedical Research in the Valencian Region, Valencia, Spain</w:t>
      </w:r>
    </w:p>
    <w:p w14:paraId="57C80813" w14:textId="6EB191DD" w:rsidR="00A1197A" w:rsidRPr="008C43FB" w:rsidRDefault="000A2644" w:rsidP="00A1197A">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Unit of Epidemiology of Rare Diseases and Congenital Anomalies. Institute of Clinical Physiology</w:t>
      </w:r>
      <w:r w:rsidR="00360B16" w:rsidRPr="008C43FB">
        <w:rPr>
          <w:rFonts w:ascii="Arial" w:hAnsi="Arial" w:cs="Arial"/>
          <w:sz w:val="20"/>
          <w:szCs w:val="20"/>
          <w:lang w:val="en-US"/>
        </w:rPr>
        <w:t xml:space="preserve">, </w:t>
      </w:r>
      <w:r w:rsidRPr="008C43FB">
        <w:rPr>
          <w:rFonts w:ascii="Arial" w:hAnsi="Arial" w:cs="Arial"/>
          <w:sz w:val="20"/>
          <w:szCs w:val="20"/>
          <w:lang w:val="en-US"/>
        </w:rPr>
        <w:t xml:space="preserve">National Research Council, Pisa, Italy </w:t>
      </w:r>
    </w:p>
    <w:p w14:paraId="57C80814"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 xml:space="preserve">Department of </w:t>
      </w:r>
      <w:proofErr w:type="spellStart"/>
      <w:r w:rsidRPr="008C43FB">
        <w:rPr>
          <w:rFonts w:ascii="Arial" w:hAnsi="Arial" w:cs="Arial"/>
          <w:sz w:val="20"/>
          <w:szCs w:val="20"/>
          <w:lang w:val="en-US"/>
        </w:rPr>
        <w:t>Paediatrics</w:t>
      </w:r>
      <w:proofErr w:type="spellEnd"/>
      <w:r w:rsidRPr="008C43FB">
        <w:rPr>
          <w:rFonts w:ascii="Arial" w:hAnsi="Arial" w:cs="Arial"/>
          <w:sz w:val="20"/>
          <w:szCs w:val="20"/>
          <w:lang w:val="en-US"/>
        </w:rPr>
        <w:t xml:space="preserve"> and Adolescent Medicine, </w:t>
      </w:r>
      <w:proofErr w:type="spellStart"/>
      <w:r w:rsidRPr="008C43FB">
        <w:rPr>
          <w:rFonts w:ascii="Arial" w:hAnsi="Arial" w:cs="Arial"/>
          <w:sz w:val="20"/>
          <w:szCs w:val="20"/>
          <w:lang w:val="en-US"/>
        </w:rPr>
        <w:t>Lillebaelt</w:t>
      </w:r>
      <w:proofErr w:type="spellEnd"/>
      <w:r w:rsidRPr="008C43FB">
        <w:rPr>
          <w:rFonts w:ascii="Arial" w:hAnsi="Arial" w:cs="Arial"/>
          <w:sz w:val="20"/>
          <w:szCs w:val="20"/>
          <w:lang w:val="en-US"/>
        </w:rPr>
        <w:t xml:space="preserve"> Hospital, University Hospital of Southern Denmark, Kolding, Denmark </w:t>
      </w:r>
    </w:p>
    <w:p w14:paraId="57C80815"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bCs/>
          <w:sz w:val="20"/>
          <w:szCs w:val="20"/>
          <w:lang w:val="en-US"/>
        </w:rPr>
        <w:t>Malta Congenital Anomalies Registry, Directorate for Health Information and Research, Malta</w:t>
      </w:r>
    </w:p>
    <w:p w14:paraId="57C80816" w14:textId="77777777" w:rsidR="004B5C89"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bCs/>
          <w:sz w:val="20"/>
          <w:szCs w:val="20"/>
          <w:lang w:val="en-US"/>
        </w:rPr>
        <w:t>Department of Neurology, St. Josef-Hospital, Ruhr-University, Bochum, Germany</w:t>
      </w:r>
    </w:p>
    <w:p w14:paraId="57C80817"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Unit of congenital malformations, REMACOR- Medical School University of La Réunion St Pierre, Sainte-Clotilde, France</w:t>
      </w:r>
    </w:p>
    <w:p w14:paraId="57C80818"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 xml:space="preserve">Provincial Institute of Hygiene, Antwerp, Belgium </w:t>
      </w:r>
    </w:p>
    <w:p w14:paraId="57C80819"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 xml:space="preserve">Department of Medical Genetics, Poznan University of Medical Sciences, </w:t>
      </w:r>
      <w:proofErr w:type="spellStart"/>
      <w:r w:rsidRPr="008C43FB">
        <w:rPr>
          <w:rFonts w:ascii="Arial" w:hAnsi="Arial" w:cs="Arial"/>
          <w:sz w:val="20"/>
          <w:szCs w:val="20"/>
          <w:lang w:val="en-US"/>
        </w:rPr>
        <w:t>Poznań</w:t>
      </w:r>
      <w:proofErr w:type="spellEnd"/>
      <w:r w:rsidRPr="008C43FB">
        <w:rPr>
          <w:rFonts w:ascii="Arial" w:hAnsi="Arial" w:cs="Arial"/>
          <w:sz w:val="20"/>
          <w:szCs w:val="20"/>
          <w:lang w:val="en-US"/>
        </w:rPr>
        <w:t>, Poland</w:t>
      </w:r>
    </w:p>
    <w:p w14:paraId="57C8081A"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 xml:space="preserve">Paris Registry of Congenital Malformations, Obstetrical, Perinatal and </w:t>
      </w:r>
      <w:proofErr w:type="spellStart"/>
      <w:r w:rsidRPr="008C43FB">
        <w:rPr>
          <w:rFonts w:ascii="Arial" w:hAnsi="Arial" w:cs="Arial"/>
          <w:sz w:val="20"/>
          <w:szCs w:val="20"/>
          <w:lang w:val="en-US"/>
        </w:rPr>
        <w:t>Paediatric</w:t>
      </w:r>
      <w:proofErr w:type="spellEnd"/>
      <w:r w:rsidRPr="008C43FB">
        <w:rPr>
          <w:rFonts w:ascii="Arial" w:hAnsi="Arial" w:cs="Arial"/>
          <w:sz w:val="20"/>
          <w:szCs w:val="20"/>
          <w:lang w:val="en-US"/>
        </w:rPr>
        <w:t xml:space="preserve"> Epidemiology Research Team, INSERM, UMR 1153, Paris, France</w:t>
      </w:r>
    </w:p>
    <w:p w14:paraId="57C8081B" w14:textId="6E7F75D5"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Department of Public Health, Health Service Executive-</w:t>
      </w:r>
      <w:proofErr w:type="spellStart"/>
      <w:r w:rsidRPr="008C43FB">
        <w:rPr>
          <w:rFonts w:ascii="Arial" w:hAnsi="Arial" w:cs="Arial"/>
          <w:sz w:val="20"/>
          <w:szCs w:val="20"/>
          <w:lang w:val="en-US"/>
        </w:rPr>
        <w:t>South</w:t>
      </w:r>
      <w:r w:rsidR="0051423A" w:rsidRPr="008C43FB">
        <w:rPr>
          <w:rFonts w:ascii="Arial" w:hAnsi="Arial" w:cs="Arial"/>
          <w:sz w:val="20"/>
          <w:szCs w:val="20"/>
          <w:lang w:val="en-US"/>
        </w:rPr>
        <w:t>West</w:t>
      </w:r>
      <w:proofErr w:type="spellEnd"/>
      <w:r w:rsidRPr="008C43FB">
        <w:rPr>
          <w:rFonts w:ascii="Arial" w:hAnsi="Arial" w:cs="Arial"/>
          <w:sz w:val="20"/>
          <w:szCs w:val="20"/>
          <w:lang w:val="en-US"/>
        </w:rPr>
        <w:t>, Cork, Ireland</w:t>
      </w:r>
    </w:p>
    <w:p w14:paraId="57C8081C" w14:textId="77777777" w:rsidR="00A1197A" w:rsidRPr="008C43FB" w:rsidRDefault="000A2644" w:rsidP="00A1197A">
      <w:pPr>
        <w:pStyle w:val="Paragraphedeliste"/>
        <w:numPr>
          <w:ilvl w:val="0"/>
          <w:numId w:val="8"/>
        </w:numPr>
        <w:spacing w:after="0" w:line="276" w:lineRule="auto"/>
        <w:rPr>
          <w:rFonts w:ascii="Arial" w:hAnsi="Arial" w:cs="Arial"/>
          <w:sz w:val="20"/>
          <w:szCs w:val="20"/>
          <w:lang w:val="en-US"/>
        </w:rPr>
      </w:pPr>
      <w:r w:rsidRPr="008C43FB">
        <w:rPr>
          <w:rFonts w:ascii="Arial" w:hAnsi="Arial" w:cs="Arial"/>
          <w:sz w:val="20"/>
          <w:szCs w:val="20"/>
          <w:lang w:val="en-US"/>
        </w:rPr>
        <w:t xml:space="preserve">IMER Registry (Emilia Romagna Registry of Birth Defects, Centre for Clinical and Epidemiological Research, University of Ferrara, </w:t>
      </w:r>
      <w:proofErr w:type="spellStart"/>
      <w:r w:rsidRPr="008C43FB">
        <w:rPr>
          <w:rFonts w:ascii="Arial" w:hAnsi="Arial" w:cs="Arial"/>
          <w:sz w:val="20"/>
          <w:szCs w:val="20"/>
          <w:lang w:val="en-US"/>
        </w:rPr>
        <w:t>Azienda</w:t>
      </w:r>
      <w:proofErr w:type="spellEnd"/>
      <w:r w:rsidRPr="008C43FB">
        <w:rPr>
          <w:rFonts w:ascii="Arial" w:hAnsi="Arial" w:cs="Arial"/>
          <w:sz w:val="20"/>
          <w:szCs w:val="20"/>
          <w:lang w:val="en-US"/>
        </w:rPr>
        <w:t xml:space="preserve">, </w:t>
      </w:r>
      <w:proofErr w:type="spellStart"/>
      <w:r w:rsidRPr="008C43FB">
        <w:rPr>
          <w:rFonts w:ascii="Arial" w:hAnsi="Arial" w:cs="Arial"/>
          <w:sz w:val="20"/>
          <w:szCs w:val="20"/>
          <w:lang w:val="en-US"/>
        </w:rPr>
        <w:t>Ospedaliero</w:t>
      </w:r>
      <w:proofErr w:type="spellEnd"/>
      <w:r w:rsidRPr="008C43FB">
        <w:rPr>
          <w:rFonts w:ascii="Arial" w:hAnsi="Arial" w:cs="Arial"/>
          <w:sz w:val="20"/>
          <w:szCs w:val="20"/>
          <w:lang w:val="en-US"/>
        </w:rPr>
        <w:t xml:space="preserve"> </w:t>
      </w:r>
      <w:proofErr w:type="spellStart"/>
      <w:r w:rsidRPr="008C43FB">
        <w:rPr>
          <w:rFonts w:ascii="Arial" w:hAnsi="Arial" w:cs="Arial"/>
          <w:sz w:val="20"/>
          <w:szCs w:val="20"/>
          <w:lang w:val="en-US"/>
        </w:rPr>
        <w:t>Universitaria</w:t>
      </w:r>
      <w:proofErr w:type="spellEnd"/>
      <w:r w:rsidRPr="008C43FB">
        <w:rPr>
          <w:rFonts w:ascii="Arial" w:hAnsi="Arial" w:cs="Arial"/>
          <w:sz w:val="20"/>
          <w:szCs w:val="20"/>
          <w:lang w:val="en-US"/>
        </w:rPr>
        <w:t xml:space="preserve"> di Ferrara, Ferrara (Italy)</w:t>
      </w:r>
    </w:p>
    <w:p w14:paraId="57C8081D"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 xml:space="preserve">Malformation Monitoring Centre Saxony-Anhalt, Medical Faculty Otto-von-Guericke University, Magdeburg, Germany </w:t>
      </w:r>
    </w:p>
    <w:p w14:paraId="57C8081E" w14:textId="77777777" w:rsidR="00E635E9" w:rsidRPr="008C43FB" w:rsidRDefault="000A2644" w:rsidP="00E635E9">
      <w:pPr>
        <w:pStyle w:val="Paragraphedeliste"/>
        <w:numPr>
          <w:ilvl w:val="0"/>
          <w:numId w:val="8"/>
        </w:numPr>
        <w:spacing w:before="0" w:after="0" w:line="276" w:lineRule="auto"/>
        <w:textAlignment w:val="auto"/>
        <w:outlineLvl w:val="9"/>
        <w:rPr>
          <w:rFonts w:ascii="Arial" w:hAnsi="Arial" w:cs="Arial"/>
          <w:bCs/>
          <w:sz w:val="20"/>
          <w:szCs w:val="20"/>
          <w:lang w:val="en-US"/>
        </w:rPr>
      </w:pPr>
      <w:bookmarkStart w:id="3" w:name="_Hlk158716757"/>
      <w:r w:rsidRPr="008C43FB">
        <w:rPr>
          <w:rFonts w:ascii="Arial" w:hAnsi="Arial" w:cs="Arial"/>
          <w:sz w:val="20"/>
          <w:szCs w:val="20"/>
          <w:lang w:val="en-US"/>
        </w:rPr>
        <w:t>Department of Woman-Mother-Child, University Hospital Center CHUV, CH 1011, Lausanne, Switzerland</w:t>
      </w:r>
    </w:p>
    <w:p w14:paraId="57C8081F" w14:textId="77777777" w:rsidR="004B5C89" w:rsidRPr="008C43FB" w:rsidRDefault="000A2644" w:rsidP="000A0A2A">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bCs/>
          <w:sz w:val="20"/>
          <w:szCs w:val="20"/>
          <w:lang w:val="en-US"/>
        </w:rPr>
        <w:t xml:space="preserve">Hospices Civils de Lyon, </w:t>
      </w:r>
      <w:proofErr w:type="spellStart"/>
      <w:r w:rsidRPr="008C43FB">
        <w:rPr>
          <w:rFonts w:ascii="Arial" w:hAnsi="Arial" w:cs="Arial"/>
          <w:bCs/>
          <w:sz w:val="20"/>
          <w:szCs w:val="20"/>
          <w:lang w:val="en-US"/>
        </w:rPr>
        <w:t>Hôpital</w:t>
      </w:r>
      <w:proofErr w:type="spellEnd"/>
      <w:r w:rsidRPr="008C43FB">
        <w:rPr>
          <w:rFonts w:ascii="Arial" w:hAnsi="Arial" w:cs="Arial"/>
          <w:bCs/>
          <w:sz w:val="20"/>
          <w:szCs w:val="20"/>
          <w:lang w:val="en-US"/>
        </w:rPr>
        <w:t xml:space="preserve"> Pierre Wertheimer, </w:t>
      </w:r>
      <w:proofErr w:type="spellStart"/>
      <w:r w:rsidRPr="008C43FB">
        <w:rPr>
          <w:rFonts w:ascii="Arial" w:hAnsi="Arial" w:cs="Arial"/>
          <w:bCs/>
          <w:sz w:val="20"/>
          <w:szCs w:val="20"/>
          <w:lang w:val="en-US"/>
        </w:rPr>
        <w:t>Bron</w:t>
      </w:r>
      <w:proofErr w:type="spellEnd"/>
      <w:r w:rsidRPr="008C43FB">
        <w:rPr>
          <w:rFonts w:ascii="Arial" w:hAnsi="Arial" w:cs="Arial"/>
          <w:bCs/>
          <w:sz w:val="20"/>
          <w:szCs w:val="20"/>
          <w:lang w:val="en-US"/>
        </w:rPr>
        <w:t xml:space="preserve">; </w:t>
      </w:r>
      <w:proofErr w:type="spellStart"/>
      <w:r w:rsidRPr="008C43FB">
        <w:rPr>
          <w:rFonts w:ascii="Arial" w:hAnsi="Arial" w:cs="Arial"/>
          <w:bCs/>
          <w:sz w:val="20"/>
          <w:szCs w:val="20"/>
          <w:lang w:val="en-US"/>
        </w:rPr>
        <w:t>Université</w:t>
      </w:r>
      <w:proofErr w:type="spellEnd"/>
      <w:r w:rsidRPr="008C43FB">
        <w:rPr>
          <w:rFonts w:ascii="Arial" w:hAnsi="Arial" w:cs="Arial"/>
          <w:bCs/>
          <w:sz w:val="20"/>
          <w:szCs w:val="20"/>
          <w:lang w:val="en-US"/>
        </w:rPr>
        <w:t xml:space="preserve"> Claude Bernard Lyon-I, Research on Healthcare Performance, INSERM U1290, Lyon, France</w:t>
      </w:r>
    </w:p>
    <w:p w14:paraId="57C80820" w14:textId="77777777" w:rsidR="000A0A2A" w:rsidRPr="008C43FB" w:rsidRDefault="000A2644" w:rsidP="000A0A2A">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 xml:space="preserve">School of Medicine, Ulster University, Belfast, United Kingdom </w:t>
      </w:r>
    </w:p>
    <w:p w14:paraId="57C80821" w14:textId="3F17484F" w:rsidR="00A3182D" w:rsidRPr="008C43FB" w:rsidRDefault="002D6F3B"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bCs/>
          <w:sz w:val="20"/>
          <w:szCs w:val="20"/>
          <w:lang w:val="en-US"/>
        </w:rPr>
        <w:t>School of Health and Medical Sciences, City</w:t>
      </w:r>
      <w:r w:rsidR="000A2644" w:rsidRPr="008C43FB">
        <w:rPr>
          <w:rFonts w:ascii="Arial" w:hAnsi="Arial" w:cs="Arial"/>
          <w:bCs/>
          <w:sz w:val="20"/>
          <w:szCs w:val="20"/>
          <w:lang w:val="en-US"/>
        </w:rPr>
        <w:t xml:space="preserve"> St George’s, University of London, London, UK</w:t>
      </w:r>
    </w:p>
    <w:bookmarkEnd w:id="3"/>
    <w:p w14:paraId="57C80822" w14:textId="77777777" w:rsidR="00A3182D" w:rsidRPr="008C43FB" w:rsidRDefault="000A2644" w:rsidP="00A3182D">
      <w:pPr>
        <w:pStyle w:val="Paragraphedeliste"/>
        <w:numPr>
          <w:ilvl w:val="0"/>
          <w:numId w:val="8"/>
        </w:numPr>
        <w:spacing w:before="0" w:after="0" w:line="276" w:lineRule="auto"/>
        <w:textAlignment w:val="auto"/>
        <w:outlineLvl w:val="9"/>
        <w:rPr>
          <w:rFonts w:ascii="Arial" w:hAnsi="Arial" w:cs="Arial"/>
          <w:bCs/>
          <w:sz w:val="20"/>
          <w:szCs w:val="20"/>
          <w:lang w:val="en-US"/>
        </w:rPr>
      </w:pPr>
      <w:r w:rsidRPr="008C43FB">
        <w:rPr>
          <w:rFonts w:ascii="Arial" w:hAnsi="Arial" w:cs="Arial"/>
          <w:sz w:val="20"/>
          <w:szCs w:val="20"/>
          <w:lang w:val="en-US"/>
        </w:rPr>
        <w:t xml:space="preserve">Institute of Nursing and Health Research, Ulster University, Belfast, United Kingdom </w:t>
      </w:r>
    </w:p>
    <w:p w14:paraId="57C80824" w14:textId="77777777" w:rsidR="007578A6" w:rsidRPr="008C43FB" w:rsidRDefault="000A2644" w:rsidP="00F17641">
      <w:pPr>
        <w:spacing w:before="240" w:after="0" w:line="360" w:lineRule="auto"/>
        <w:jc w:val="both"/>
        <w:rPr>
          <w:rFonts w:cstheme="minorHAnsi"/>
          <w:lang w:val="en-US"/>
        </w:rPr>
      </w:pPr>
      <w:r w:rsidRPr="008C43FB">
        <w:rPr>
          <w:rFonts w:cstheme="minorHAnsi"/>
          <w:lang w:val="en-US"/>
        </w:rPr>
        <w:t xml:space="preserve">Journal: </w:t>
      </w:r>
      <w:r w:rsidR="00F04AF9" w:rsidRPr="008C43FB">
        <w:rPr>
          <w:rFonts w:cstheme="minorHAnsi"/>
          <w:lang w:val="en-US"/>
        </w:rPr>
        <w:t>European Journal of Epidemiology</w:t>
      </w:r>
    </w:p>
    <w:p w14:paraId="57C80825" w14:textId="77777777" w:rsidR="007B2317" w:rsidRPr="008C43FB" w:rsidRDefault="000A2644" w:rsidP="005164EE">
      <w:pPr>
        <w:spacing w:after="0" w:line="276" w:lineRule="auto"/>
        <w:jc w:val="both"/>
        <w:rPr>
          <w:rFonts w:cstheme="minorHAnsi"/>
          <w:lang w:val="en-US"/>
        </w:rPr>
      </w:pPr>
      <w:r w:rsidRPr="008C43FB">
        <w:rPr>
          <w:rFonts w:cstheme="minorHAnsi"/>
          <w:lang w:val="en-US"/>
        </w:rPr>
        <w:t>Corresponding author:</w:t>
      </w:r>
    </w:p>
    <w:p w14:paraId="57C80826" w14:textId="77777777" w:rsidR="00BB1AA3" w:rsidRPr="008C43FB" w:rsidRDefault="000A2644" w:rsidP="005164EE">
      <w:pPr>
        <w:spacing w:after="0" w:line="276" w:lineRule="auto"/>
        <w:ind w:left="708"/>
        <w:jc w:val="both"/>
        <w:rPr>
          <w:rFonts w:cstheme="minorHAnsi"/>
          <w:szCs w:val="20"/>
        </w:rPr>
      </w:pPr>
      <w:r w:rsidRPr="008C43FB">
        <w:rPr>
          <w:rFonts w:cstheme="minorHAnsi"/>
          <w:szCs w:val="20"/>
        </w:rPr>
        <w:t>Marie Beslay</w:t>
      </w:r>
      <w:r w:rsidR="006E5C1F" w:rsidRPr="008C43FB">
        <w:rPr>
          <w:rFonts w:cstheme="minorHAnsi"/>
          <w:szCs w:val="20"/>
        </w:rPr>
        <w:t xml:space="preserve"> : </w:t>
      </w:r>
      <w:hyperlink r:id="rId8" w:history="1">
        <w:r w:rsidR="006E5C1F" w:rsidRPr="008C43FB">
          <w:rPr>
            <w:rStyle w:val="Lienhypertexte"/>
            <w:rFonts w:cstheme="minorHAnsi"/>
            <w:szCs w:val="20"/>
          </w:rPr>
          <w:t>beslay.m@chu-toulouse.fr</w:t>
        </w:r>
      </w:hyperlink>
      <w:r w:rsidR="006E5C1F" w:rsidRPr="008C43FB">
        <w:rPr>
          <w:rFonts w:cstheme="minorHAnsi"/>
          <w:szCs w:val="20"/>
        </w:rPr>
        <w:t xml:space="preserve"> </w:t>
      </w:r>
    </w:p>
    <w:p w14:paraId="57C80827" w14:textId="77777777" w:rsidR="007B2317" w:rsidRPr="008C43FB" w:rsidRDefault="000A2644" w:rsidP="005164EE">
      <w:pPr>
        <w:spacing w:after="0" w:line="276" w:lineRule="auto"/>
        <w:ind w:left="708"/>
        <w:rPr>
          <w:lang w:val="en-US"/>
        </w:rPr>
      </w:pPr>
      <w:r w:rsidRPr="008C43FB">
        <w:rPr>
          <w:lang w:val="en-US"/>
        </w:rPr>
        <w:t xml:space="preserve">Toulouse University Hospital, CERPOP-SPHERE Team, </w:t>
      </w:r>
      <w:proofErr w:type="spellStart"/>
      <w:r w:rsidRPr="008C43FB">
        <w:rPr>
          <w:lang w:val="en-US"/>
        </w:rPr>
        <w:t>Inserm</w:t>
      </w:r>
      <w:proofErr w:type="spellEnd"/>
      <w:r w:rsidRPr="008C43FB">
        <w:rPr>
          <w:lang w:val="en-US"/>
        </w:rPr>
        <w:t xml:space="preserve"> UMR 1295</w:t>
      </w:r>
    </w:p>
    <w:p w14:paraId="57C80829" w14:textId="48A423E9" w:rsidR="00A3182D" w:rsidRPr="008C43FB" w:rsidRDefault="000A2644" w:rsidP="00F17641">
      <w:pPr>
        <w:spacing w:after="0" w:line="276" w:lineRule="auto"/>
        <w:ind w:left="708"/>
      </w:pPr>
      <w:r w:rsidRPr="008C43FB">
        <w:t xml:space="preserve">37 allées Jules Guesde Bat C </w:t>
      </w:r>
      <w:proofErr w:type="spellStart"/>
      <w:r w:rsidRPr="008C43FB">
        <w:t>floor</w:t>
      </w:r>
      <w:proofErr w:type="spellEnd"/>
      <w:r w:rsidRPr="008C43FB">
        <w:t xml:space="preserve"> 3, 31000 Toulouse, </w:t>
      </w:r>
      <w:r w:rsidR="00F17641" w:rsidRPr="008C43FB">
        <w:t>France</w:t>
      </w:r>
    </w:p>
    <w:p w14:paraId="73CC302A" w14:textId="03825350" w:rsidR="00F17641" w:rsidRPr="008C43FB" w:rsidRDefault="00F17641" w:rsidP="00F17641">
      <w:pPr>
        <w:spacing w:after="0" w:line="276" w:lineRule="auto"/>
        <w:ind w:left="708"/>
        <w:rPr>
          <w:lang w:val="en-US"/>
        </w:rPr>
      </w:pPr>
      <w:proofErr w:type="gramStart"/>
      <w:r w:rsidRPr="008C43FB">
        <w:rPr>
          <w:lang w:val="en-US"/>
        </w:rPr>
        <w:t>ORCID :</w:t>
      </w:r>
      <w:proofErr w:type="gramEnd"/>
      <w:r w:rsidRPr="008C43FB">
        <w:rPr>
          <w:lang w:val="en-US"/>
        </w:rPr>
        <w:t xml:space="preserve"> </w:t>
      </w:r>
      <w:hyperlink r:id="rId9" w:history="1">
        <w:r w:rsidRPr="008C43FB">
          <w:rPr>
            <w:rStyle w:val="Lienhypertexte"/>
            <w:lang w:val="en-US"/>
          </w:rPr>
          <w:t>https://orcid.org/0000-0002-5153-1747</w:t>
        </w:r>
      </w:hyperlink>
    </w:p>
    <w:p w14:paraId="1F0E3F50" w14:textId="51FB9139" w:rsidR="00F17641" w:rsidRPr="008C43FB" w:rsidRDefault="00F17641" w:rsidP="00F17641">
      <w:pPr>
        <w:spacing w:after="0" w:line="276" w:lineRule="auto"/>
        <w:ind w:left="708"/>
        <w:rPr>
          <w:lang w:val="en-US"/>
        </w:rPr>
      </w:pPr>
    </w:p>
    <w:p w14:paraId="69ED1EDC" w14:textId="77777777" w:rsidR="000B3EC2" w:rsidRPr="008C43FB" w:rsidRDefault="000B3EC2" w:rsidP="000B3EC2">
      <w:pPr>
        <w:keepNext/>
        <w:keepLines/>
        <w:spacing w:before="240" w:after="240"/>
        <w:ind w:left="360" w:hanging="360"/>
        <w:outlineLvl w:val="0"/>
        <w:rPr>
          <w:rFonts w:eastAsiaTheme="majorEastAsia" w:cstheme="minorHAnsi"/>
          <w:color w:val="2F5496" w:themeColor="accent1" w:themeShade="BF"/>
          <w:sz w:val="32"/>
          <w:szCs w:val="32"/>
          <w:lang w:val="en-US"/>
        </w:rPr>
      </w:pPr>
      <w:r w:rsidRPr="008C43FB">
        <w:rPr>
          <w:rFonts w:eastAsiaTheme="majorEastAsia" w:cstheme="minorHAnsi"/>
          <w:color w:val="2F5496" w:themeColor="accent1" w:themeShade="BF"/>
          <w:sz w:val="32"/>
          <w:szCs w:val="32"/>
          <w:lang w:val="en-US"/>
        </w:rPr>
        <w:lastRenderedPageBreak/>
        <w:t>Acknowledgements</w:t>
      </w:r>
    </w:p>
    <w:p w14:paraId="48C5D895" w14:textId="77777777" w:rsidR="000B3EC2" w:rsidRPr="008C43FB" w:rsidRDefault="000B3EC2" w:rsidP="000B3EC2">
      <w:pPr>
        <w:spacing w:line="360" w:lineRule="auto"/>
        <w:jc w:val="both"/>
        <w:rPr>
          <w:rFonts w:cstheme="minorHAnsi"/>
          <w:lang w:val="en-US"/>
        </w:rPr>
      </w:pPr>
      <w:r w:rsidRPr="008C43FB">
        <w:rPr>
          <w:rFonts w:cstheme="minorHAnsi"/>
          <w:lang w:val="en-US"/>
        </w:rPr>
        <w:t xml:space="preserve">We thank Joachim Tan for merging the prescription data to the congenital anomalies data for Valencian Region and Emilia Romagna registries. We thank Anthony Caillet for data collection and for mapping of the French data into the </w:t>
      </w:r>
      <w:proofErr w:type="spellStart"/>
      <w:r w:rsidRPr="008C43FB">
        <w:rPr>
          <w:rFonts w:cstheme="minorHAnsi"/>
          <w:lang w:val="en-US"/>
        </w:rPr>
        <w:t>EUROmediCAT</w:t>
      </w:r>
      <w:proofErr w:type="spellEnd"/>
      <w:r w:rsidRPr="008C43FB">
        <w:rPr>
          <w:rFonts w:cstheme="minorHAnsi"/>
          <w:lang w:val="en-US"/>
        </w:rPr>
        <w:t xml:space="preserve"> Common Data Model and for data curation of the final data set. We also thank the EFEMERIS data providers: </w:t>
      </w:r>
      <w:proofErr w:type="gramStart"/>
      <w:r w:rsidRPr="008C43FB">
        <w:rPr>
          <w:rFonts w:cstheme="minorHAnsi"/>
          <w:lang w:val="en-US"/>
        </w:rPr>
        <w:t>the</w:t>
      </w:r>
      <w:proofErr w:type="gramEnd"/>
      <w:r w:rsidRPr="008C43FB">
        <w:rPr>
          <w:rFonts w:cstheme="minorHAnsi"/>
          <w:lang w:val="en-US"/>
        </w:rPr>
        <w:t xml:space="preserve"> Haute-Garonne Health Insurance System, the Haute-Garonne mother and child welfare service, the Prenatal Diagnosis Centre, and the Haute-Garonne hospital medical information system of Toulouse University Hospital. We thank Sudip Karki for preliminary analyses. We are also grateful to Miriam Sturkenboom and Anja Geldhof, as </w:t>
      </w:r>
      <w:proofErr w:type="spellStart"/>
      <w:r w:rsidRPr="008C43FB">
        <w:rPr>
          <w:rFonts w:cstheme="minorHAnsi"/>
          <w:lang w:val="en-US"/>
        </w:rPr>
        <w:t>ConcePTION</w:t>
      </w:r>
      <w:proofErr w:type="spellEnd"/>
      <w:r w:rsidRPr="008C43FB">
        <w:rPr>
          <w:rFonts w:cstheme="minorHAnsi"/>
          <w:lang w:val="en-US"/>
        </w:rPr>
        <w:t xml:space="preserve"> leaders. </w:t>
      </w:r>
    </w:p>
    <w:p w14:paraId="3AFF263A" w14:textId="77777777" w:rsidR="000B3EC2" w:rsidRPr="008C43FB" w:rsidRDefault="000B3EC2" w:rsidP="00F17641">
      <w:pPr>
        <w:spacing w:after="0" w:line="276" w:lineRule="auto"/>
        <w:ind w:left="708"/>
        <w:rPr>
          <w:lang w:val="en-US"/>
        </w:rPr>
      </w:pPr>
    </w:p>
    <w:p w14:paraId="41D84AF9" w14:textId="77777777" w:rsidR="00C37C46" w:rsidRPr="008C43FB" w:rsidRDefault="00C37C46">
      <w:pPr>
        <w:rPr>
          <w:rFonts w:eastAsiaTheme="majorEastAsia" w:cstheme="minorHAnsi"/>
          <w:color w:val="2F5496" w:themeColor="accent1" w:themeShade="BF"/>
          <w:sz w:val="32"/>
          <w:szCs w:val="32"/>
          <w:lang w:val="en-US"/>
        </w:rPr>
      </w:pPr>
      <w:r w:rsidRPr="008C43FB">
        <w:rPr>
          <w:lang w:val="en-US"/>
        </w:rPr>
        <w:br w:type="page"/>
      </w:r>
    </w:p>
    <w:p w14:paraId="57C8082A" w14:textId="679B09EA" w:rsidR="00A3182D" w:rsidRPr="008C43FB" w:rsidRDefault="000A2644" w:rsidP="00687DF5">
      <w:pPr>
        <w:pStyle w:val="Titre1"/>
        <w:numPr>
          <w:ilvl w:val="0"/>
          <w:numId w:val="0"/>
        </w:numPr>
        <w:ind w:left="360" w:hanging="360"/>
        <w:rPr>
          <w:lang w:val="en-US"/>
        </w:rPr>
      </w:pPr>
      <w:r w:rsidRPr="008C43FB">
        <w:rPr>
          <w:lang w:val="en-US"/>
        </w:rPr>
        <w:lastRenderedPageBreak/>
        <w:t>Abstract</w:t>
      </w:r>
    </w:p>
    <w:p w14:paraId="620C32DD" w14:textId="3782A9E8" w:rsidR="00793D86" w:rsidRPr="008C43FB" w:rsidRDefault="000A2644" w:rsidP="00710498">
      <w:pPr>
        <w:spacing w:line="360" w:lineRule="auto"/>
        <w:jc w:val="both"/>
        <w:rPr>
          <w:lang w:val="en-US"/>
        </w:rPr>
      </w:pPr>
      <w:bookmarkStart w:id="4" w:name="_Hlk189645644"/>
      <w:r w:rsidRPr="008C43FB">
        <w:rPr>
          <w:lang w:val="en-US"/>
        </w:rPr>
        <w:t xml:space="preserve">Multiple sclerosis (MS) is </w:t>
      </w:r>
      <w:r w:rsidR="0010321A" w:rsidRPr="008C43FB">
        <w:rPr>
          <w:lang w:val="en-US"/>
        </w:rPr>
        <w:t xml:space="preserve">frequently diagnosed in women </w:t>
      </w:r>
      <w:r w:rsidR="007A4FFE" w:rsidRPr="008C43FB">
        <w:rPr>
          <w:lang w:val="en-US"/>
        </w:rPr>
        <w:t>of</w:t>
      </w:r>
      <w:r w:rsidR="0010321A" w:rsidRPr="008C43FB">
        <w:rPr>
          <w:lang w:val="en-US"/>
        </w:rPr>
        <w:t xml:space="preserve"> childbearing </w:t>
      </w:r>
      <w:r w:rsidR="007A4FFE" w:rsidRPr="008C43FB">
        <w:rPr>
          <w:lang w:val="en-US"/>
        </w:rPr>
        <w:t>age</w:t>
      </w:r>
      <w:r w:rsidRPr="008C43FB">
        <w:rPr>
          <w:lang w:val="en-US"/>
        </w:rPr>
        <w:t xml:space="preserve">. This </w:t>
      </w:r>
      <w:r w:rsidR="003F5AE6" w:rsidRPr="008C43FB">
        <w:rPr>
          <w:lang w:val="en-US"/>
        </w:rPr>
        <w:t xml:space="preserve">case-malformed control </w:t>
      </w:r>
      <w:r w:rsidRPr="008C43FB">
        <w:rPr>
          <w:lang w:val="en-US"/>
        </w:rPr>
        <w:t xml:space="preserve">study </w:t>
      </w:r>
      <w:r w:rsidR="00337163" w:rsidRPr="008C43FB">
        <w:rPr>
          <w:lang w:val="en-US"/>
        </w:rPr>
        <w:t>evaluate</w:t>
      </w:r>
      <w:r w:rsidR="0052649B" w:rsidRPr="008C43FB">
        <w:rPr>
          <w:lang w:val="en-US"/>
        </w:rPr>
        <w:t>d</w:t>
      </w:r>
      <w:r w:rsidR="00337163" w:rsidRPr="008C43FB">
        <w:rPr>
          <w:lang w:val="en-US"/>
        </w:rPr>
        <w:t xml:space="preserve"> </w:t>
      </w:r>
      <w:r w:rsidRPr="008C43FB">
        <w:rPr>
          <w:lang w:val="en-US"/>
        </w:rPr>
        <w:t xml:space="preserve">the risk of congenital anomalies (CA) associated with maternal MS </w:t>
      </w:r>
      <w:r w:rsidR="005D2B6E" w:rsidRPr="008C43FB">
        <w:rPr>
          <w:lang w:val="en-US"/>
        </w:rPr>
        <w:t xml:space="preserve">and </w:t>
      </w:r>
      <w:r w:rsidR="00E402CF" w:rsidRPr="008C43FB">
        <w:rPr>
          <w:lang w:val="en-US"/>
        </w:rPr>
        <w:t>Disease-modifying treatments</w:t>
      </w:r>
      <w:r w:rsidR="00E402CF" w:rsidRPr="00EE4722">
        <w:rPr>
          <w:rFonts w:cstheme="minorHAnsi"/>
          <w:lang w:val="en-US"/>
        </w:rPr>
        <w:t xml:space="preserve"> (DMTs)</w:t>
      </w:r>
      <w:r w:rsidRPr="008C43FB">
        <w:rPr>
          <w:lang w:val="en-US"/>
        </w:rPr>
        <w:t xml:space="preserve"> </w:t>
      </w:r>
      <w:r w:rsidR="005D2B6E" w:rsidRPr="008C43FB">
        <w:rPr>
          <w:lang w:val="en-US"/>
        </w:rPr>
        <w:t xml:space="preserve">exposure </w:t>
      </w:r>
      <w:r w:rsidRPr="008C43FB">
        <w:rPr>
          <w:lang w:val="en-US"/>
        </w:rPr>
        <w:t xml:space="preserve">using </w:t>
      </w:r>
      <w:r w:rsidR="00FA63AF" w:rsidRPr="008C43FB">
        <w:rPr>
          <w:lang w:val="en-US"/>
        </w:rPr>
        <w:t xml:space="preserve">data from </w:t>
      </w:r>
      <w:r w:rsidRPr="008C43FB">
        <w:rPr>
          <w:lang w:val="en-US"/>
        </w:rPr>
        <w:t xml:space="preserve">the </w:t>
      </w:r>
      <w:proofErr w:type="spellStart"/>
      <w:r w:rsidRPr="008C43FB">
        <w:rPr>
          <w:lang w:val="en-US"/>
        </w:rPr>
        <w:t>EUROmediCAT</w:t>
      </w:r>
      <w:proofErr w:type="spellEnd"/>
      <w:r w:rsidRPr="008C43FB">
        <w:rPr>
          <w:lang w:val="en-US"/>
        </w:rPr>
        <w:t xml:space="preserve"> central database, including </w:t>
      </w:r>
      <w:r w:rsidR="006C1623" w:rsidRPr="008C43FB">
        <w:rPr>
          <w:lang w:val="en-US"/>
        </w:rPr>
        <w:t xml:space="preserve">major CA </w:t>
      </w:r>
      <w:r w:rsidR="00FC0409" w:rsidRPr="008C43FB">
        <w:rPr>
          <w:lang w:val="en-US"/>
        </w:rPr>
        <w:t xml:space="preserve">(registrants) </w:t>
      </w:r>
      <w:r w:rsidR="006C1623" w:rsidRPr="008C43FB">
        <w:rPr>
          <w:lang w:val="en-US"/>
        </w:rPr>
        <w:t xml:space="preserve">from </w:t>
      </w:r>
      <w:r w:rsidRPr="008C43FB">
        <w:rPr>
          <w:lang w:val="en-US"/>
        </w:rPr>
        <w:t xml:space="preserve">livebirths, fetal deaths from 20 weeks gestational age and </w:t>
      </w:r>
      <w:r w:rsidR="00217884" w:rsidRPr="008C43FB">
        <w:rPr>
          <w:lang w:val="en-US"/>
        </w:rPr>
        <w:t xml:space="preserve">pregnancy </w:t>
      </w:r>
      <w:r w:rsidRPr="008C43FB">
        <w:rPr>
          <w:lang w:val="en-US"/>
        </w:rPr>
        <w:t>terminations for fetal anomaly</w:t>
      </w:r>
      <w:r w:rsidR="007574C7" w:rsidRPr="008C43FB">
        <w:rPr>
          <w:lang w:val="en-US"/>
        </w:rPr>
        <w:t>, born 1995-2020</w:t>
      </w:r>
      <w:r w:rsidRPr="008C43FB">
        <w:rPr>
          <w:lang w:val="en-US"/>
        </w:rPr>
        <w:t xml:space="preserve">. </w:t>
      </w:r>
      <w:r w:rsidR="00813A7D" w:rsidRPr="00EE4722">
        <w:rPr>
          <w:rFonts w:cstheme="minorHAnsi"/>
          <w:lang w:val="en-US"/>
        </w:rPr>
        <w:t xml:space="preserve">We explored associations between specific CA and (1) maternal MS </w:t>
      </w:r>
      <w:r w:rsidR="004E2F18" w:rsidRPr="00B763E2">
        <w:rPr>
          <w:rFonts w:cstheme="minorHAnsi"/>
          <w:lang w:val="en-US"/>
        </w:rPr>
        <w:t>and</w:t>
      </w:r>
      <w:r w:rsidR="004E2F18" w:rsidRPr="008C43FB">
        <w:rPr>
          <w:rFonts w:cstheme="minorHAnsi"/>
          <w:lang w:val="en-US"/>
        </w:rPr>
        <w:t xml:space="preserve"> </w:t>
      </w:r>
      <w:r w:rsidR="00813A7D" w:rsidRPr="008C43FB">
        <w:rPr>
          <w:rFonts w:cstheme="minorHAnsi"/>
          <w:lang w:val="en-US"/>
        </w:rPr>
        <w:t xml:space="preserve">(2) first-trimester exposure to </w:t>
      </w:r>
      <w:r w:rsidR="004D2B2C" w:rsidRPr="008C43FB">
        <w:rPr>
          <w:rFonts w:cstheme="minorHAnsi"/>
          <w:lang w:val="en-US"/>
        </w:rPr>
        <w:t xml:space="preserve">MS </w:t>
      </w:r>
      <w:r w:rsidR="00813A7D" w:rsidRPr="008C43FB">
        <w:rPr>
          <w:rFonts w:cstheme="minorHAnsi"/>
          <w:lang w:val="en-US"/>
        </w:rPr>
        <w:t>DMT</w:t>
      </w:r>
      <w:r w:rsidR="009C2AD8" w:rsidRPr="008C43FB">
        <w:rPr>
          <w:rFonts w:cstheme="minorHAnsi"/>
          <w:lang w:val="en-US"/>
        </w:rPr>
        <w:t>s</w:t>
      </w:r>
      <w:r w:rsidR="00813A7D" w:rsidRPr="008C43FB">
        <w:rPr>
          <w:rFonts w:cstheme="minorHAnsi"/>
          <w:lang w:val="en-US"/>
        </w:rPr>
        <w:t xml:space="preserve"> among pregnancies with MS</w:t>
      </w:r>
      <w:r w:rsidR="00B72C08" w:rsidRPr="008C43FB">
        <w:rPr>
          <w:rFonts w:cstheme="minorHAnsi"/>
          <w:lang w:val="en-US"/>
        </w:rPr>
        <w:t xml:space="preserve">. </w:t>
      </w:r>
      <w:r w:rsidR="00B72C08" w:rsidRPr="008C43FB">
        <w:rPr>
          <w:lang w:val="en-US"/>
        </w:rPr>
        <w:t>Exposure among</w:t>
      </w:r>
      <w:r w:rsidRPr="008C43FB">
        <w:rPr>
          <w:lang w:val="en-US"/>
        </w:rPr>
        <w:t xml:space="preserve"> non-genetic </w:t>
      </w:r>
      <w:r w:rsidR="00DA46A7" w:rsidRPr="008C43FB">
        <w:rPr>
          <w:lang w:val="en-US"/>
        </w:rPr>
        <w:t xml:space="preserve">CA </w:t>
      </w:r>
      <w:r w:rsidR="00211E51" w:rsidRPr="008C43FB">
        <w:rPr>
          <w:lang w:val="en-US"/>
        </w:rPr>
        <w:t xml:space="preserve">was </w:t>
      </w:r>
      <w:r w:rsidRPr="008C43FB">
        <w:rPr>
          <w:lang w:val="en-US"/>
        </w:rPr>
        <w:t xml:space="preserve">compared with malformed controls (other non-genetic anomalies or genetic conditions). </w:t>
      </w:r>
      <w:r w:rsidR="00EB06E4" w:rsidRPr="008C43FB">
        <w:rPr>
          <w:lang w:val="en-US"/>
        </w:rPr>
        <w:t>CA s</w:t>
      </w:r>
      <w:r w:rsidR="006E34A1" w:rsidRPr="008C43FB">
        <w:rPr>
          <w:lang w:val="en-US"/>
        </w:rPr>
        <w:t>ubgroups</w:t>
      </w:r>
      <w:r w:rsidRPr="008C43FB">
        <w:rPr>
          <w:lang w:val="en-US"/>
        </w:rPr>
        <w:t xml:space="preserve"> with ≥3 exposed cases were </w:t>
      </w:r>
      <w:r w:rsidR="00EE4722" w:rsidRPr="008C43FB">
        <w:rPr>
          <w:lang w:val="en-US"/>
        </w:rPr>
        <w:t>analy</w:t>
      </w:r>
      <w:r w:rsidR="00EE4722">
        <w:rPr>
          <w:lang w:val="en-US"/>
        </w:rPr>
        <w:t>z</w:t>
      </w:r>
      <w:r w:rsidR="00EE4722" w:rsidRPr="008C43FB">
        <w:rPr>
          <w:lang w:val="en-US"/>
        </w:rPr>
        <w:t>ed</w:t>
      </w:r>
      <w:r w:rsidRPr="008C43FB">
        <w:rPr>
          <w:lang w:val="en-US"/>
        </w:rPr>
        <w:t xml:space="preserve">. </w:t>
      </w:r>
      <w:r w:rsidR="00B12261" w:rsidRPr="008C43FB">
        <w:rPr>
          <w:lang w:val="en-US"/>
        </w:rPr>
        <w:t xml:space="preserve">Adjusted </w:t>
      </w:r>
      <w:r w:rsidRPr="008C43FB">
        <w:rPr>
          <w:lang w:val="en-US"/>
        </w:rPr>
        <w:t xml:space="preserve">Odds </w:t>
      </w:r>
      <w:proofErr w:type="gramStart"/>
      <w:r w:rsidR="00DF53FF" w:rsidRPr="008C43FB">
        <w:rPr>
          <w:lang w:val="en-US"/>
        </w:rPr>
        <w:t xml:space="preserve">Ratios </w:t>
      </w:r>
      <w:r w:rsidRPr="008C43FB">
        <w:rPr>
          <w:lang w:val="en-US"/>
        </w:rPr>
        <w:t xml:space="preserve"> (</w:t>
      </w:r>
      <w:proofErr w:type="spellStart"/>
      <w:proofErr w:type="gramEnd"/>
      <w:r w:rsidRPr="008C43FB">
        <w:rPr>
          <w:lang w:val="en-US"/>
        </w:rPr>
        <w:t>aROR</w:t>
      </w:r>
      <w:proofErr w:type="spellEnd"/>
      <w:r w:rsidRPr="008C43FB">
        <w:rPr>
          <w:lang w:val="en-US"/>
        </w:rPr>
        <w:t>) with 95% Confidence Intervals</w:t>
      </w:r>
      <w:r w:rsidR="007B4627" w:rsidRPr="008C43FB">
        <w:rPr>
          <w:lang w:val="en-US"/>
        </w:rPr>
        <w:t xml:space="preserve"> (95% CI</w:t>
      </w:r>
      <w:r w:rsidRPr="008C43FB">
        <w:rPr>
          <w:lang w:val="en-US"/>
        </w:rPr>
        <w:t xml:space="preserve">) were estimated. Among the </w:t>
      </w:r>
      <w:r w:rsidRPr="008C43FB">
        <w:rPr>
          <w:rFonts w:cstheme="minorHAnsi"/>
          <w:lang w:val="en-US"/>
        </w:rPr>
        <w:t>210,223</w:t>
      </w:r>
      <w:r w:rsidRPr="008C43FB">
        <w:rPr>
          <w:lang w:val="en-US"/>
        </w:rPr>
        <w:t xml:space="preserve"> </w:t>
      </w:r>
      <w:r w:rsidR="006C1623" w:rsidRPr="008C43FB">
        <w:rPr>
          <w:lang w:val="en-US"/>
        </w:rPr>
        <w:t xml:space="preserve">registrants </w:t>
      </w:r>
      <w:r w:rsidRPr="008C43FB">
        <w:rPr>
          <w:lang w:val="en-US"/>
        </w:rPr>
        <w:t>in the study population, 108 were from mothers with MS</w:t>
      </w:r>
      <w:r w:rsidR="00465D9D" w:rsidRPr="008C43FB">
        <w:rPr>
          <w:lang w:val="en-US"/>
        </w:rPr>
        <w:t xml:space="preserve">, </w:t>
      </w:r>
      <w:r w:rsidR="00211E51" w:rsidRPr="008C43FB">
        <w:rPr>
          <w:lang w:val="en-US"/>
        </w:rPr>
        <w:t xml:space="preserve">with </w:t>
      </w:r>
      <w:r w:rsidR="00465D9D" w:rsidRPr="008C43FB">
        <w:rPr>
          <w:lang w:val="en-US"/>
        </w:rPr>
        <w:t>14 exposed to glatiramer acetate</w:t>
      </w:r>
      <w:r w:rsidR="00211E51" w:rsidRPr="008C43FB">
        <w:rPr>
          <w:lang w:val="en-US"/>
        </w:rPr>
        <w:t xml:space="preserve"> </w:t>
      </w:r>
      <w:r w:rsidR="00465D9D" w:rsidRPr="008C43FB">
        <w:rPr>
          <w:lang w:val="en-US"/>
        </w:rPr>
        <w:t>and 10 to interferon beta-1a</w:t>
      </w:r>
      <w:r w:rsidR="006E34A1" w:rsidRPr="008C43FB">
        <w:rPr>
          <w:lang w:val="en-US"/>
        </w:rPr>
        <w:t xml:space="preserve">. Compared </w:t>
      </w:r>
      <w:r w:rsidR="00D64E72" w:rsidRPr="008C43FB">
        <w:rPr>
          <w:lang w:val="en-US"/>
        </w:rPr>
        <w:t xml:space="preserve">with </w:t>
      </w:r>
      <w:r w:rsidR="006E34A1" w:rsidRPr="008C43FB">
        <w:rPr>
          <w:lang w:val="en-US"/>
        </w:rPr>
        <w:t>non-genetic</w:t>
      </w:r>
      <w:r w:rsidR="006D2F4E" w:rsidRPr="008C43FB">
        <w:rPr>
          <w:lang w:val="en-US"/>
        </w:rPr>
        <w:t xml:space="preserve"> controls</w:t>
      </w:r>
      <w:r w:rsidR="00117616" w:rsidRPr="008C43FB">
        <w:rPr>
          <w:lang w:val="en-US"/>
        </w:rPr>
        <w:t>,</w:t>
      </w:r>
      <w:r w:rsidR="00831F0E" w:rsidRPr="008C43FB">
        <w:rPr>
          <w:lang w:val="en-US"/>
        </w:rPr>
        <w:t xml:space="preserve"> maternal MS was more frequent among registrants with </w:t>
      </w:r>
      <w:r w:rsidR="003D6C6E" w:rsidRPr="008C43FB">
        <w:rPr>
          <w:lang w:val="en-US"/>
        </w:rPr>
        <w:t xml:space="preserve">gastroschisis </w:t>
      </w:r>
      <w:r w:rsidR="003D6C6E" w:rsidRPr="008C43FB">
        <w:rPr>
          <w:rFonts w:cstheme="minorHAnsi"/>
          <w:lang w:val="en-US"/>
        </w:rPr>
        <w:t>(</w:t>
      </w:r>
      <w:proofErr w:type="spellStart"/>
      <w:r w:rsidR="003D6C6E" w:rsidRPr="008C43FB">
        <w:rPr>
          <w:rFonts w:cstheme="minorHAnsi"/>
          <w:lang w:val="en-US"/>
        </w:rPr>
        <w:t>aROR</w:t>
      </w:r>
      <w:proofErr w:type="spellEnd"/>
      <w:r w:rsidR="003D6C6E" w:rsidRPr="008C43FB">
        <w:rPr>
          <w:rFonts w:cstheme="minorHAnsi"/>
          <w:lang w:val="en-US"/>
        </w:rPr>
        <w:t xml:space="preserve"> 8.30; 95% CI: 2.82-24.46</w:t>
      </w:r>
      <w:r w:rsidR="0019334F" w:rsidRPr="008C43FB">
        <w:rPr>
          <w:rFonts w:cstheme="minorHAnsi"/>
          <w:lang w:val="en-US"/>
        </w:rPr>
        <w:t xml:space="preserve"> based on 3 cases</w:t>
      </w:r>
      <w:r w:rsidR="003D6C6E" w:rsidRPr="008C43FB">
        <w:rPr>
          <w:rFonts w:cstheme="minorHAnsi"/>
          <w:lang w:val="en-US"/>
        </w:rPr>
        <w:t>)</w:t>
      </w:r>
      <w:r w:rsidR="00710498" w:rsidRPr="008C43FB">
        <w:rPr>
          <w:rFonts w:cstheme="minorHAnsi"/>
          <w:lang w:val="en-US"/>
        </w:rPr>
        <w:t>.</w:t>
      </w:r>
      <w:r w:rsidR="00473931" w:rsidRPr="008C43FB">
        <w:rPr>
          <w:rFonts w:cstheme="minorHAnsi"/>
          <w:lang w:val="en-US"/>
        </w:rPr>
        <w:t xml:space="preserve"> </w:t>
      </w:r>
      <w:r w:rsidR="0047575B" w:rsidRPr="008C43FB">
        <w:rPr>
          <w:rFonts w:cstheme="minorHAnsi"/>
          <w:lang w:val="en-US"/>
        </w:rPr>
        <w:t xml:space="preserve">Increased frequencies </w:t>
      </w:r>
      <w:r w:rsidR="00E22FD3" w:rsidRPr="008C43FB">
        <w:rPr>
          <w:rFonts w:cstheme="minorHAnsi"/>
          <w:lang w:val="en-US"/>
        </w:rPr>
        <w:t>were also observed for</w:t>
      </w:r>
      <w:r w:rsidR="0047575B" w:rsidRPr="008C43FB">
        <w:rPr>
          <w:rFonts w:cstheme="minorHAnsi"/>
          <w:lang w:val="en-US"/>
        </w:rPr>
        <w:t xml:space="preserve"> transposition of the great arteries and orofacial clefts, </w:t>
      </w:r>
      <w:r w:rsidR="00B7634C" w:rsidRPr="008C43FB">
        <w:rPr>
          <w:rFonts w:cstheme="minorHAnsi"/>
          <w:lang w:val="en-US"/>
        </w:rPr>
        <w:t xml:space="preserve">but </w:t>
      </w:r>
      <w:r w:rsidR="00E22FD3" w:rsidRPr="008C43FB">
        <w:rPr>
          <w:rFonts w:cstheme="minorHAnsi"/>
          <w:lang w:val="en-US"/>
        </w:rPr>
        <w:t xml:space="preserve">RORs </w:t>
      </w:r>
      <w:r w:rsidR="00B7634C" w:rsidRPr="008C43FB">
        <w:rPr>
          <w:rFonts w:cstheme="minorHAnsi"/>
          <w:lang w:val="en-US"/>
        </w:rPr>
        <w:t>were</w:t>
      </w:r>
      <w:r w:rsidR="0047575B" w:rsidRPr="008C43FB">
        <w:rPr>
          <w:rFonts w:cstheme="minorHAnsi"/>
          <w:lang w:val="en-US"/>
        </w:rPr>
        <w:t xml:space="preserve"> not statistically significant after multiple testing correction and could reflect chance findings</w:t>
      </w:r>
      <w:r w:rsidR="00B43D0A" w:rsidRPr="008C43FB">
        <w:rPr>
          <w:rFonts w:cstheme="minorHAnsi"/>
          <w:lang w:val="en-US"/>
        </w:rPr>
        <w:t>.</w:t>
      </w:r>
      <w:r w:rsidR="007B38A8" w:rsidRPr="008C43FB">
        <w:rPr>
          <w:rFonts w:cstheme="minorHAnsi"/>
          <w:lang w:val="en-US"/>
        </w:rPr>
        <w:t xml:space="preserve"> </w:t>
      </w:r>
      <w:r w:rsidR="00C45B7D" w:rsidRPr="008C43FB">
        <w:rPr>
          <w:lang w:val="en-US"/>
        </w:rPr>
        <w:t>Among women with MS exposed to glatiramer acetate or interferon beta-1a in the first trimester, only congenital heart defect</w:t>
      </w:r>
      <w:r w:rsidR="00FD582F" w:rsidRPr="008C43FB">
        <w:rPr>
          <w:lang w:val="en-US"/>
        </w:rPr>
        <w:t xml:space="preserve"> subgroup</w:t>
      </w:r>
      <w:r w:rsidR="00C45B7D" w:rsidRPr="008C43FB">
        <w:rPr>
          <w:lang w:val="en-US"/>
        </w:rPr>
        <w:t xml:space="preserve">s </w:t>
      </w:r>
      <w:r w:rsidR="00AD491B" w:rsidRPr="008C43FB">
        <w:rPr>
          <w:lang w:val="en-US"/>
        </w:rPr>
        <w:t>were analy</w:t>
      </w:r>
      <w:r w:rsidR="00EE4722">
        <w:rPr>
          <w:lang w:val="en-US"/>
        </w:rPr>
        <w:t>z</w:t>
      </w:r>
      <w:r w:rsidR="00AD491B" w:rsidRPr="008C43FB">
        <w:rPr>
          <w:lang w:val="en-US"/>
        </w:rPr>
        <w:t>ed</w:t>
      </w:r>
      <w:r w:rsidR="00C45B7D" w:rsidRPr="008C43FB">
        <w:rPr>
          <w:lang w:val="en-US"/>
        </w:rPr>
        <w:t xml:space="preserve"> and no significant association was observed</w:t>
      </w:r>
      <w:r w:rsidR="00E3352A" w:rsidRPr="008C43FB">
        <w:rPr>
          <w:lang w:val="en-US"/>
        </w:rPr>
        <w:t>.</w:t>
      </w:r>
      <w:r w:rsidR="000642A0" w:rsidRPr="008C43FB">
        <w:rPr>
          <w:lang w:val="en-US"/>
        </w:rPr>
        <w:t xml:space="preserve"> </w:t>
      </w:r>
      <w:r w:rsidR="00134427" w:rsidRPr="008C43FB">
        <w:rPr>
          <w:lang w:val="en-US"/>
        </w:rPr>
        <w:t>While t</w:t>
      </w:r>
      <w:r w:rsidR="007A4FFE" w:rsidRPr="008C43FB">
        <w:rPr>
          <w:lang w:val="en-US"/>
        </w:rPr>
        <w:t xml:space="preserve">hese findings </w:t>
      </w:r>
      <w:r w:rsidR="000336F1" w:rsidRPr="008C43FB">
        <w:rPr>
          <w:lang w:val="en-US"/>
        </w:rPr>
        <w:t>support</w:t>
      </w:r>
      <w:r w:rsidR="000E4413" w:rsidRPr="008C43FB">
        <w:rPr>
          <w:lang w:val="en-US"/>
        </w:rPr>
        <w:t xml:space="preserve"> existing evidence of no increased teratogenic risk</w:t>
      </w:r>
      <w:r w:rsidR="00134427" w:rsidRPr="008C43FB">
        <w:rPr>
          <w:lang w:val="en-US"/>
        </w:rPr>
        <w:t>, they</w:t>
      </w:r>
      <w:r w:rsidR="000E4413" w:rsidRPr="008C43FB">
        <w:rPr>
          <w:lang w:val="en-US"/>
        </w:rPr>
        <w:t xml:space="preserve"> </w:t>
      </w:r>
      <w:r w:rsidR="007A4FFE" w:rsidRPr="008C43FB">
        <w:rPr>
          <w:lang w:val="en-US"/>
        </w:rPr>
        <w:t>should be interpreted cautiously given</w:t>
      </w:r>
      <w:r w:rsidR="00E3352A" w:rsidRPr="008C43FB">
        <w:rPr>
          <w:lang w:val="en-US"/>
        </w:rPr>
        <w:t xml:space="preserve"> the small number of cases</w:t>
      </w:r>
      <w:r w:rsidR="007A4FFE" w:rsidRPr="008C43FB">
        <w:rPr>
          <w:lang w:val="en-US"/>
        </w:rPr>
        <w:t>.</w:t>
      </w:r>
      <w:r w:rsidR="00E3352A" w:rsidRPr="008C43FB">
        <w:rPr>
          <w:lang w:val="en-US"/>
        </w:rPr>
        <w:t xml:space="preserve"> </w:t>
      </w:r>
      <w:r w:rsidR="005D2B6E" w:rsidRPr="008C43FB">
        <w:rPr>
          <w:lang w:val="en-US"/>
        </w:rPr>
        <w:t>Larger</w:t>
      </w:r>
      <w:r w:rsidR="007B38A8" w:rsidRPr="008C43FB">
        <w:rPr>
          <w:lang w:val="en-US"/>
        </w:rPr>
        <w:t xml:space="preserve"> studies are needed to confirm these findings.</w:t>
      </w:r>
    </w:p>
    <w:p w14:paraId="2DA6B00E" w14:textId="77777777" w:rsidR="003D6C6E" w:rsidRPr="008C43FB" w:rsidRDefault="003D6C6E" w:rsidP="00260053">
      <w:pPr>
        <w:spacing w:line="360" w:lineRule="auto"/>
        <w:jc w:val="both"/>
        <w:rPr>
          <w:lang w:val="en-US"/>
        </w:rPr>
      </w:pPr>
    </w:p>
    <w:bookmarkEnd w:id="4"/>
    <w:p w14:paraId="57C8082C" w14:textId="32476E06" w:rsidR="003F3D95" w:rsidRPr="008C43FB" w:rsidRDefault="00D70078" w:rsidP="00260053">
      <w:pPr>
        <w:spacing w:line="360" w:lineRule="auto"/>
        <w:jc w:val="both"/>
        <w:rPr>
          <w:lang w:val="en-US"/>
        </w:rPr>
      </w:pPr>
      <w:r w:rsidRPr="008C43FB">
        <w:rPr>
          <w:lang w:val="en-US"/>
        </w:rPr>
        <w:t>249</w:t>
      </w:r>
      <w:r w:rsidR="000A2644" w:rsidRPr="008C43FB">
        <w:rPr>
          <w:lang w:val="en-US"/>
        </w:rPr>
        <w:t>/250 words</w:t>
      </w:r>
    </w:p>
    <w:p w14:paraId="57C8082D" w14:textId="67968341" w:rsidR="000E7034" w:rsidRPr="008C43FB" w:rsidRDefault="000A2644" w:rsidP="00260053">
      <w:pPr>
        <w:spacing w:line="360" w:lineRule="auto"/>
        <w:jc w:val="both"/>
        <w:rPr>
          <w:lang w:val="en-US"/>
        </w:rPr>
      </w:pPr>
      <w:r w:rsidRPr="008C43FB">
        <w:rPr>
          <w:lang w:val="en-US"/>
        </w:rPr>
        <w:t xml:space="preserve">Keywords: </w:t>
      </w:r>
      <w:r w:rsidR="001B41B3" w:rsidRPr="008C43FB">
        <w:rPr>
          <w:lang w:val="en-US"/>
        </w:rPr>
        <w:t>congenital anomalies</w:t>
      </w:r>
      <w:r w:rsidR="00586033">
        <w:rPr>
          <w:lang w:val="en-US"/>
        </w:rPr>
        <w:t>;</w:t>
      </w:r>
      <w:r w:rsidR="001B41B3" w:rsidRPr="008C43FB">
        <w:rPr>
          <w:lang w:val="en-US"/>
        </w:rPr>
        <w:t xml:space="preserve"> </w:t>
      </w:r>
      <w:r w:rsidRPr="008C43FB">
        <w:rPr>
          <w:lang w:val="en-US"/>
        </w:rPr>
        <w:t>multiple sclerosis</w:t>
      </w:r>
      <w:r w:rsidR="00586033">
        <w:rPr>
          <w:lang w:val="en-US"/>
        </w:rPr>
        <w:t>;</w:t>
      </w:r>
      <w:r w:rsidRPr="008C43FB">
        <w:rPr>
          <w:lang w:val="en-US"/>
        </w:rPr>
        <w:t xml:space="preserve"> </w:t>
      </w:r>
      <w:r w:rsidR="001B41B3" w:rsidRPr="008C43FB">
        <w:rPr>
          <w:lang w:val="en-US"/>
        </w:rPr>
        <w:t>pregnancy</w:t>
      </w:r>
      <w:r w:rsidR="00586033">
        <w:rPr>
          <w:lang w:val="en-US"/>
        </w:rPr>
        <w:t>;</w:t>
      </w:r>
      <w:r w:rsidR="001B41B3" w:rsidRPr="008C43FB">
        <w:rPr>
          <w:lang w:val="en-US"/>
        </w:rPr>
        <w:t xml:space="preserve"> </w:t>
      </w:r>
      <w:r w:rsidR="00F344E5" w:rsidRPr="008C43FB">
        <w:rPr>
          <w:lang w:val="en-US"/>
        </w:rPr>
        <w:t>d</w:t>
      </w:r>
      <w:r w:rsidRPr="008C43FB">
        <w:rPr>
          <w:lang w:val="en-US"/>
        </w:rPr>
        <w:t>isease-modifying treatments</w:t>
      </w:r>
      <w:r w:rsidR="00586033">
        <w:rPr>
          <w:lang w:val="en-US"/>
        </w:rPr>
        <w:t>;</w:t>
      </w:r>
      <w:bookmarkStart w:id="5" w:name="_GoBack"/>
      <w:bookmarkEnd w:id="5"/>
      <w:r w:rsidRPr="008C43FB">
        <w:rPr>
          <w:lang w:val="en-US"/>
        </w:rPr>
        <w:t xml:space="preserve"> first trimester exposure</w:t>
      </w:r>
    </w:p>
    <w:p w14:paraId="57C8082E" w14:textId="77777777" w:rsidR="00A3182D" w:rsidRPr="008C43FB" w:rsidRDefault="000A2644" w:rsidP="000E7034">
      <w:pPr>
        <w:jc w:val="both"/>
        <w:rPr>
          <w:lang w:val="en-US"/>
        </w:rPr>
      </w:pPr>
      <w:r w:rsidRPr="008C43FB">
        <w:rPr>
          <w:lang w:val="en-US"/>
        </w:rPr>
        <w:br w:type="page"/>
      </w:r>
    </w:p>
    <w:p w14:paraId="57C8082F" w14:textId="77777777" w:rsidR="00684393" w:rsidRPr="008C43FB" w:rsidRDefault="000A2644" w:rsidP="00DA546B">
      <w:pPr>
        <w:pStyle w:val="Titre1"/>
        <w:rPr>
          <w:lang w:val="en-US"/>
        </w:rPr>
      </w:pPr>
      <w:r w:rsidRPr="008C43FB">
        <w:rPr>
          <w:lang w:val="en-US"/>
        </w:rPr>
        <w:lastRenderedPageBreak/>
        <w:t>Introduction</w:t>
      </w:r>
    </w:p>
    <w:p w14:paraId="57C80830" w14:textId="40CC4ACC" w:rsidR="00E71B17" w:rsidRPr="008C43FB" w:rsidRDefault="000A2644" w:rsidP="00315C29">
      <w:pPr>
        <w:spacing w:line="360" w:lineRule="auto"/>
        <w:jc w:val="both"/>
        <w:rPr>
          <w:rFonts w:cstheme="minorHAnsi"/>
          <w:lang w:val="en-US"/>
        </w:rPr>
      </w:pPr>
      <w:r w:rsidRPr="008C43FB">
        <w:rPr>
          <w:rFonts w:cstheme="minorHAnsi"/>
          <w:lang w:val="en-US"/>
        </w:rPr>
        <w:t xml:space="preserve">Multiple sclerosis (MS) is a chronic autoimmune disease of the central nervous system </w:t>
      </w:r>
      <w:r w:rsidR="007D40CC" w:rsidRPr="008C43FB">
        <w:rPr>
          <w:rFonts w:cstheme="minorHAnsi"/>
          <w:lang w:val="en-US"/>
        </w:rPr>
        <w:t xml:space="preserve">characterized by inflammatory demyelination and axonal degeneration, </w:t>
      </w:r>
      <w:r w:rsidR="00B219E9" w:rsidRPr="008C43FB">
        <w:rPr>
          <w:rFonts w:cstheme="minorHAnsi"/>
          <w:lang w:val="en-US"/>
        </w:rPr>
        <w:t>resulting in</w:t>
      </w:r>
      <w:r w:rsidR="007D40CC" w:rsidRPr="008C43FB">
        <w:rPr>
          <w:rFonts w:cstheme="minorHAnsi"/>
          <w:lang w:val="en-US"/>
        </w:rPr>
        <w:t xml:space="preserve"> neurological impairment and progressive disability</w:t>
      </w:r>
      <w:r w:rsidR="00030D56" w:rsidRPr="008C43FB">
        <w:rPr>
          <w:rFonts w:cstheme="minorHAnsi"/>
          <w:lang w:val="en-US"/>
        </w:rPr>
        <w:t xml:space="preserve"> </w:t>
      </w:r>
      <w:r w:rsidR="00030D56" w:rsidRPr="008C43FB">
        <w:rPr>
          <w:rFonts w:cstheme="minorHAnsi"/>
          <w:lang w:val="en-US"/>
        </w:rPr>
        <w:fldChar w:fldCharType="begin"/>
      </w:r>
      <w:r w:rsidR="00890BE5" w:rsidRPr="008C43FB">
        <w:rPr>
          <w:rFonts w:cstheme="minorHAnsi"/>
          <w:lang w:val="en-US"/>
        </w:rPr>
        <w:instrText xml:space="preserve"> ADDIN ZOTERO_ITEM CSL_CITATION {"citationID":"9NXxFvAe","properties":{"formattedCitation":"[1]","plainCitation":"[1]","noteIndex":0},"citationItems":[{"id":2069,"uris":["http://zotero.org/users/4535351/items/4ICTV23N"],"itemData":{"id":2069,"type":"article-journal","abstract":"OBJECTIVE: The objective of this study was to develop evidence-based recommendations on pregnancy management for persons with multiple sclerosis (MS).\nBACKGROUND: MS typically affects young women in their childbearing years. Increasing evidence is available to inform questions raised by MS patients and health professionals about pregnancy issues.\nMETHODS: The French Group for Recommendations in Multiple Sclerosis (France4MS) reviewed PubMed and university databases (January 1975 through June 2021). The RAND/UCLA appropriateness method was developed to synthesise the scientific literature and expert opinions on healthcare topics; it was used to reach a formal agreement. Fifty-six MS experts worked on the full-text review and initial wording of recommendations. A group of 62 multidisciplinary healthcare specialists validated the final proposal of summarised evidence.\nRESULTS: A strong agreement was reached for all 104 proposed recommendations. They cover diverse topics, such as pregnancy planning, follow-up during pregnancy and postpartum, delivery routes, locoregional analgesia or anaesthesia, prevention of postpartum relapses, breastfeeding, vaccinations, reproductive assistance, management of relapses and disease-modifying treatments.\nCONCLUSION: The 2022 recommendations of the French MS society should be helpful to harmonise counselling and treatment practice for pregnancy in persons with MS, allowing for better and individualised choices.","container-title":"Multiple Sclerosis (Houndmills, Basingstoke, England)","DOI":"10.1177/13524585221129472","ISSN":"1477-0970","journalAbbreviation":"Mult Scler","language":"eng","page":"13524585221129472","PMID":"36317497","source":"PubMed","title":"Pregnancy and multiple sclerosis: 2022 recommendations from the French multiple sclerosis society","title-short":"Pregnancy and multiple sclerosis","author":[{"family":"Vukusic","given":"Sandra"},{"family":"Carra-Dalliere","given":"Clarisse"},{"family":"Ciron","given":"Jonathan"},{"family":"Maillart","given":"Elisabeth"},{"family":"Michel","given":"Laure"},{"family":"Leray","given":"Emmanuelle"},{"family":"Guennoc","given":"Anne-Marie"},{"family":"Bourre","given":"Bertrand"},{"family":"Laplaud","given":"David"},{"family":"Androdias","given":"Géraldine"},{"family":"Bensa","given":"Caroline"},{"family":"Bigaut","given":"Kevin"},{"family":"Biotti","given":"Damien"},{"family":"Branger","given":"Pierre"},{"family":"Casez","given":"Olivier"},{"family":"Cohen","given":"Mikael"},{"family":"Daval","given":"Elodie"},{"family":"Deschamps","given":"Romain"},{"family":"Donze","given":"Cécile"},{"family":"Dubessy","given":"Anne-Laure"},{"family":"Dulau","given":"Cécile"},{"family":"Durand-Dubief","given":"Françoise"},{"family":"Guillaume","given":"Maxime"},{"family":"Hebant","given":"Benjamin"},{"family":"Kremer","given":"Laurent"},{"family":"Kwiatkowski","given":"Arnaud"},{"family":"Lannoy","given":"Julien"},{"family":"Maarouf","given":"Adil"},{"family":"Manchon","given":"Eric"},{"family":"Mathey","given":"Guillaume"},{"family":"Moisset","given":"Xavier"},{"family":"Montcuquet","given":"Alexis"},{"family":"Pique","given":"Julie"},{"family":"Roux","given":"Thomas"},{"family":"Marignier","given":"Romain"},{"family":"Lebrun-Frenay","given":"Christine"}],"issued":{"date-parts":[["2022",11,1]]}}}],"schema":"https://github.com/citation-style-language/schema/raw/master/csl-citation.json"} </w:instrText>
      </w:r>
      <w:r w:rsidR="00030D56" w:rsidRPr="008C43FB">
        <w:rPr>
          <w:rFonts w:cstheme="minorHAnsi"/>
          <w:lang w:val="en-US"/>
        </w:rPr>
        <w:fldChar w:fldCharType="separate"/>
      </w:r>
      <w:r w:rsidR="003A626F" w:rsidRPr="008C43FB">
        <w:rPr>
          <w:rFonts w:ascii="Calibri" w:hAnsi="Calibri" w:cs="Calibri"/>
          <w:lang w:val="en-US"/>
        </w:rPr>
        <w:t>[1]</w:t>
      </w:r>
      <w:r w:rsidR="00030D56" w:rsidRPr="008C43FB">
        <w:rPr>
          <w:rFonts w:cstheme="minorHAnsi"/>
          <w:lang w:val="en-US"/>
        </w:rPr>
        <w:fldChar w:fldCharType="end"/>
      </w:r>
      <w:r w:rsidRPr="008C43FB">
        <w:rPr>
          <w:rFonts w:cstheme="minorHAnsi"/>
          <w:lang w:val="en-US"/>
        </w:rPr>
        <w:t xml:space="preserve">. </w:t>
      </w:r>
      <w:r w:rsidR="00B219E9" w:rsidRPr="008C43FB">
        <w:rPr>
          <w:rFonts w:cstheme="minorHAnsi"/>
          <w:lang w:val="en-US"/>
        </w:rPr>
        <w:t xml:space="preserve">MS </w:t>
      </w:r>
      <w:r w:rsidR="0027198E" w:rsidRPr="008C43FB">
        <w:rPr>
          <w:rFonts w:cstheme="minorHAnsi"/>
          <w:lang w:val="en-US"/>
        </w:rPr>
        <w:t>o</w:t>
      </w:r>
      <w:r w:rsidR="00B219E9" w:rsidRPr="008C43FB">
        <w:rPr>
          <w:lang w:val="en-US"/>
        </w:rPr>
        <w:t xml:space="preserve">ften follows a relapsing-remitting course, </w:t>
      </w:r>
      <w:r w:rsidR="00B219E9" w:rsidRPr="008C43FB">
        <w:rPr>
          <w:rFonts w:cstheme="minorHAnsi"/>
          <w:lang w:val="en-US"/>
        </w:rPr>
        <w:t>with</w:t>
      </w:r>
      <w:r w:rsidRPr="008C43FB">
        <w:rPr>
          <w:rFonts w:cstheme="minorHAnsi"/>
          <w:lang w:val="en-US"/>
        </w:rPr>
        <w:t xml:space="preserve"> unpredictable episodes that can be severely disabling</w:t>
      </w:r>
      <w:r w:rsidR="00F966ED" w:rsidRPr="008C43FB">
        <w:rPr>
          <w:rFonts w:cstheme="minorHAnsi"/>
          <w:lang w:val="en-US"/>
        </w:rPr>
        <w:t xml:space="preserve"> </w:t>
      </w:r>
      <w:r w:rsidR="00F966ED" w:rsidRPr="008C43FB">
        <w:rPr>
          <w:rFonts w:cstheme="minorHAnsi"/>
          <w:lang w:val="en-US"/>
        </w:rPr>
        <w:fldChar w:fldCharType="begin"/>
      </w:r>
      <w:r w:rsidR="00890BE5" w:rsidRPr="008C43FB">
        <w:rPr>
          <w:rFonts w:cstheme="minorHAnsi"/>
          <w:lang w:val="en-US"/>
        </w:rPr>
        <w:instrText xml:space="preserve"> ADDIN ZOTERO_ITEM CSL_CITATION {"citationID":"Q6iSoKOY","properties":{"formattedCitation":"[2]","plainCitation":"[2]","noteIndex":0},"citationItems":[{"id":2880,"uris":["http://zotero.org/users/4535351/items/DIVGI77C"],"itemData":{"id":2880,"type":"article-journal","container-title":"The Lancet Regional Health – Europe","DOI":"10.1016/j.lanepe.2024.100977","ISSN":"2666-7762","journalAbbreviation":"The Lancet Regional Health – Europe","language":"English","publisher":"Elsevier","source":"www.thelancet.com","title":"Multiple sclerosis: emerging epidemiological trends and redefining the clinical course","title-short":"Multiple sclerosis","URL":"https://www.thelancet.com/journals/lanepe/article/PIIS2666-7762(24)00144-3/fulltext","volume":"44","author":[{"family":"Portaccio","given":"Emilio"},{"family":"Magyari","given":"Melinda"},{"family":"Havrdova","given":"Eva Kubala"},{"family":"Ruet","given":"Aurelie"},{"family":"Brochet","given":"Bruno"},{"family":"Scalfari","given":"Antonio"},{"family":"Filippo","given":"Massimiliano Di"},{"family":"Tur","given":"Carmen"},{"family":"Montalban","given":"Xavier"},{"family":"Amato","given":"Maria Pia"}],"accessed":{"date-parts":[["2025",1,12]]},"issued":{"date-parts":[["2024",9,1]]}}}],"schema":"https://github.com/citation-style-language/schema/raw/master/csl-citation.json"} </w:instrText>
      </w:r>
      <w:r w:rsidR="00F966ED" w:rsidRPr="008C43FB">
        <w:rPr>
          <w:rFonts w:cstheme="minorHAnsi"/>
          <w:lang w:val="en-US"/>
        </w:rPr>
        <w:fldChar w:fldCharType="separate"/>
      </w:r>
      <w:r w:rsidR="003A626F" w:rsidRPr="008C43FB">
        <w:rPr>
          <w:rFonts w:ascii="Calibri" w:hAnsi="Calibri" w:cs="Calibri"/>
          <w:lang w:val="en-US"/>
        </w:rPr>
        <w:t>[2]</w:t>
      </w:r>
      <w:r w:rsidR="00F966ED" w:rsidRPr="008C43FB">
        <w:rPr>
          <w:rFonts w:cstheme="minorHAnsi"/>
          <w:lang w:val="en-US"/>
        </w:rPr>
        <w:fldChar w:fldCharType="end"/>
      </w:r>
      <w:r w:rsidRPr="008C43FB">
        <w:rPr>
          <w:rFonts w:cstheme="minorHAnsi"/>
          <w:lang w:val="en-US"/>
        </w:rPr>
        <w:t xml:space="preserve">. </w:t>
      </w:r>
      <w:bookmarkStart w:id="6" w:name="_Hlk189755893"/>
      <w:r w:rsidRPr="008C43FB">
        <w:rPr>
          <w:rFonts w:cstheme="minorHAnsi"/>
          <w:lang w:val="en-US"/>
        </w:rPr>
        <w:t>Disease-modifying treatments (</w:t>
      </w:r>
      <w:r w:rsidR="00E71B17" w:rsidRPr="008C43FB">
        <w:rPr>
          <w:rFonts w:cstheme="minorHAnsi"/>
          <w:lang w:val="en-US"/>
        </w:rPr>
        <w:t>DMT</w:t>
      </w:r>
      <w:r w:rsidR="002D6F3B" w:rsidRPr="008C43FB">
        <w:rPr>
          <w:rFonts w:cstheme="minorHAnsi"/>
          <w:lang w:val="en-US"/>
        </w:rPr>
        <w:t>s</w:t>
      </w:r>
      <w:r w:rsidRPr="008C43FB">
        <w:rPr>
          <w:rFonts w:cstheme="minorHAnsi"/>
          <w:lang w:val="en-US"/>
        </w:rPr>
        <w:t xml:space="preserve">) </w:t>
      </w:r>
      <w:bookmarkEnd w:id="6"/>
      <w:r w:rsidR="001B05E8" w:rsidRPr="008C43FB">
        <w:rPr>
          <w:rFonts w:cstheme="minorHAnsi"/>
          <w:lang w:val="en-US"/>
        </w:rPr>
        <w:t>can</w:t>
      </w:r>
      <w:r w:rsidRPr="008C43FB">
        <w:rPr>
          <w:rFonts w:cstheme="minorHAnsi"/>
          <w:lang w:val="en-US"/>
        </w:rPr>
        <w:t xml:space="preserve"> prevent further relapses </w:t>
      </w:r>
      <w:r w:rsidR="001B05E8" w:rsidRPr="008C43FB">
        <w:rPr>
          <w:rFonts w:cstheme="minorHAnsi"/>
          <w:lang w:val="en-US"/>
        </w:rPr>
        <w:t>and slow the progression</w:t>
      </w:r>
      <w:r w:rsidRPr="008C43FB">
        <w:rPr>
          <w:rFonts w:cstheme="minorHAnsi"/>
          <w:lang w:val="en-US"/>
        </w:rPr>
        <w:t xml:space="preserve"> of the disease</w:t>
      </w:r>
      <w:r w:rsidR="00937362" w:rsidRPr="008C43FB">
        <w:rPr>
          <w:rFonts w:cstheme="minorHAnsi"/>
          <w:lang w:val="en-US"/>
        </w:rPr>
        <w:t xml:space="preserve"> </w:t>
      </w:r>
      <w:r w:rsidR="00937362" w:rsidRPr="008C43FB">
        <w:rPr>
          <w:rFonts w:cstheme="minorHAnsi"/>
          <w:lang w:val="en-US"/>
        </w:rPr>
        <w:fldChar w:fldCharType="begin"/>
      </w:r>
      <w:r w:rsidR="003A626F" w:rsidRPr="008C43FB">
        <w:rPr>
          <w:rFonts w:cstheme="minorHAnsi"/>
          <w:lang w:val="en-US"/>
        </w:rPr>
        <w:instrText xml:space="preserve"> ADDIN ZOTERO_ITEM CSL_CITATION {"citationID":"OV28WK5b","properties":{"formattedCitation":"[3]","plainCitation":"[3]","noteIndex":0},"citationItems":[{"id":2721,"uris":["http://zotero.org/users/4535351/items/TFUZKUG8"],"itemData":{"id":2721,"type":"article-journal","abstract":"With evolving diagnostic criteria and the advent of new oral and parenteral therapies for Multiple Sclerosis (MS), most current diagnostic and treatment algorithms need revision and updating. The diagnosis of MS relies on incorporating clinical and paraclinical findings to prove dissemination in space and time and exclude alternative diseases that can explain the findings at hand. The differential diagnostic workup should be guided by clinical and laboratory red flags to avoid unnecessary tests. Appropriate selection of MS therapies is critical to maximize patient benefit. The current guidelines review the current diagnostic criteria for MS and the scientific evidence supporting treatment of acute relapses, radiologically isolated syndrome, clinically isolated syndrome, relapsing remitting MS, progressive MS, pediatric cases and pregnant women. The purpose of these guidelines is to provide practical recommendations and algorithms for the diagnosis and treatment of MS based on current scientific evidence and clinical experience.","container-title":"Multiple Sclerosis and Related Disorders","DOI":"10.1016/j.msard.2024.105435","ISSN":"2211-0348","journalAbbreviation":"Multiple Sclerosis and Related Disorders","page":"105435","source":"ScienceDirect","title":"Consensus recommendations for diagnosis and treatment of Multiple Sclerosis: 2023 revision of the MENACTRIMS guidelines","title-short":"Consensus recommendations for diagnosis and treatment of Multiple Sclerosis","volume":"83","author":[{"family":"Yamout","given":"B."},{"family":"Al-Jumah","given":"M."},{"family":"Sahraian","given":"M. A."},{"family":"Almalik","given":"Y"},{"family":"Khaburi","given":"J. Al"},{"family":"Shalaby","given":"N."},{"family":"Aljarallah","given":"S"},{"family":"Bohlega","given":"S."},{"family":"Dahdaleh","given":"M."},{"family":"Almahdawi","given":"A."},{"family":"Khoury","given":"S. J."},{"family":"Koussa","given":"S."},{"family":"Slassi","given":"E."},{"family":"Daoudi","given":"S"},{"family":"Aref","given":"H."},{"family":"Mrabet","given":"S."},{"family":"Zeineddine","given":"M."},{"family":"Zakaria","given":"M."},{"family":"Inshasi","given":"J."},{"family":"Gouider","given":"R."},{"family":"Alroughani","given":"R."}],"issued":{"date-parts":[["2024",3,1]]}}}],"schema":"https://github.com/citation-style-language/schema/raw/master/csl-citation.json"} </w:instrText>
      </w:r>
      <w:r w:rsidR="00937362" w:rsidRPr="008C43FB">
        <w:rPr>
          <w:rFonts w:cstheme="minorHAnsi"/>
          <w:lang w:val="en-US"/>
        </w:rPr>
        <w:fldChar w:fldCharType="separate"/>
      </w:r>
      <w:r w:rsidR="003A626F" w:rsidRPr="008C43FB">
        <w:rPr>
          <w:rFonts w:ascii="Calibri" w:hAnsi="Calibri" w:cs="Calibri"/>
          <w:lang w:val="en-US"/>
        </w:rPr>
        <w:t>[3]</w:t>
      </w:r>
      <w:r w:rsidR="00937362" w:rsidRPr="008C43FB">
        <w:rPr>
          <w:rFonts w:cstheme="minorHAnsi"/>
          <w:lang w:val="en-US"/>
        </w:rPr>
        <w:fldChar w:fldCharType="end"/>
      </w:r>
      <w:r w:rsidRPr="008C43FB">
        <w:rPr>
          <w:rFonts w:cstheme="minorHAnsi"/>
          <w:lang w:val="en-US"/>
        </w:rPr>
        <w:t xml:space="preserve">. </w:t>
      </w:r>
    </w:p>
    <w:p w14:paraId="57C80831" w14:textId="2382C2E7" w:rsidR="00EF4A67" w:rsidRPr="008C43FB" w:rsidRDefault="000A2644" w:rsidP="00AC02BA">
      <w:pPr>
        <w:spacing w:line="360" w:lineRule="auto"/>
        <w:jc w:val="both"/>
        <w:rPr>
          <w:rFonts w:cstheme="minorHAnsi"/>
          <w:lang w:val="en-US"/>
        </w:rPr>
      </w:pPr>
      <w:r w:rsidRPr="008C43FB">
        <w:rPr>
          <w:rFonts w:cstheme="minorHAnsi"/>
          <w:lang w:val="en-US"/>
        </w:rPr>
        <w:t xml:space="preserve">Women are </w:t>
      </w:r>
      <w:r w:rsidR="00BF51AC" w:rsidRPr="008C43FB">
        <w:rPr>
          <w:rFonts w:cstheme="minorHAnsi"/>
          <w:lang w:val="en-US"/>
        </w:rPr>
        <w:t xml:space="preserve">2 </w:t>
      </w:r>
      <w:r w:rsidRPr="008C43FB">
        <w:rPr>
          <w:rFonts w:cstheme="minorHAnsi"/>
          <w:lang w:val="en-US"/>
        </w:rPr>
        <w:t xml:space="preserve">to </w:t>
      </w:r>
      <w:r w:rsidR="00BF51AC" w:rsidRPr="008C43FB">
        <w:rPr>
          <w:rFonts w:cstheme="minorHAnsi"/>
          <w:lang w:val="en-US"/>
        </w:rPr>
        <w:t xml:space="preserve">4 </w:t>
      </w:r>
      <w:r w:rsidRPr="008C43FB">
        <w:rPr>
          <w:rFonts w:cstheme="minorHAnsi"/>
          <w:lang w:val="en-US"/>
        </w:rPr>
        <w:t xml:space="preserve">times more likely to be affected than men, and are usually diagnosed during their childbearing years </w:t>
      </w:r>
      <w:r w:rsidRPr="008C43FB">
        <w:rPr>
          <w:rFonts w:cstheme="minorHAnsi"/>
          <w:lang w:val="en-US"/>
        </w:rPr>
        <w:fldChar w:fldCharType="begin"/>
      </w:r>
      <w:r w:rsidR="00890BE5" w:rsidRPr="008C43FB">
        <w:rPr>
          <w:rFonts w:cstheme="minorHAnsi"/>
          <w:lang w:val="en-US"/>
        </w:rPr>
        <w:instrText xml:space="preserve"> ADDIN ZOTERO_ITEM CSL_CITATION {"citationID":"P3rMbivp","properties":{"formattedCitation":"[4\\uc0\\u8211{}6]","plainCitation":"[4–6]","noteIndex":0},"citationItems":[{"id":2560,"uris":["http://zotero.org/users/4535351/items/VASNR9HU"],"itemData":{"id":2560,"type":"article-journal","container-title":"Multiple Sclerosis and Related Disorders","DOI":"10.1016/j.msard.2016.07.003","ISSN":"2211-0348, 2211-0356","journalAbbreviation":"Multiple Sclerosis and Related Disorders","language":"English","page":"S5-S48","publisher":"Elsevier","source":"www.msard-journal.com","title":"Brain health: time matters in multiple sclerosis","title-short":"Brain health","volume":"9","author":[{"family":"Giovannoni","given":"Gavin"},{"family":"Butzkueven","given":"Helmut"},{"family":"Dhib-Jalbut","given":"Suhayl"},{"family":"Hobart","given":"Jeremy"},{"family":"Kobelt","given":"Gisela"},{"family":"Pepper","given":"George"},{"family":"Sormani","given":"Maria Pia"},{"family":"Thalheim","given":"Christoph"},{"family":"Traboulsee","given":"Anthony"},{"family":"Vollmer","given":"Timothy"}],"issued":{"date-parts":[["2016",9,1]]}}},{"id":2626,"uris":["http://zotero.org/users/4535351/items/FRJ4A222"],"itemData":{"id":2626,"type":"article-journal","abstract":"BACKGROUND: Fifteen regional studies published over the last six decades surveying prevalence, mortality and hospital admissions have suggested that Scotland is amongst the highest risk nations for multiple sclerosis (MS) in the world. However, substantial intranational variation in rates (between regions) has been described in numerous countries, including in the only previous Scottish national survey, which used hospital admission data, to address this issue. Against this backdrop, the Scottish Multiple Sclerosis Register (SMSR) was established in 2010 to prospectively collect nationally comprehensive incidence data and to allow for regional comparisons.\nMETHODS: Here, we present the SMSR and analyse the variation in crude and age-sex standardized incidence rates, lifetime risk (cumulative incidence), and the sex distribution of cases and rates, between the 14 administrative Health Boards or regions of Scotland: 01 January 2010 to 31 December 2017.\nRESULTS: The overall incidence rate for Scotland was 8.76/100,000 person-years (standardized: 8.54). Regional incidence rates varied significantly-up to threefold-between Health Boards (p &lt; 1 × 10-13). The national female-to-male sex ratio was 2.3:1, but this too varied regionally (outlier regions result in a range from 1.0 to 4.2:1). Lifetime risk ranged from 19.9/1000 for females in Orkney (58.98°N) to 1.6/1000 for males in the Borders (55.60°N). Comparison with a previous national survey suggests that these differences are longstanding. In 6 of 14 regions the lifetime risk for women exceeds 1%.\nCONCLUSIONS: This study introduces a national incidence register: a valuable research tool and the result of substantial public investment. The wide variation in incidence rates and sex ratios between regions, in a relatively homogenous population, raises questions for future study.","container-title":"Journal of Neurology","DOI":"10.1007/s00415-019-09413-x","ISSN":"1432-1459","issue":"10","journalAbbreviation":"J Neurol","language":"eng","page":"2376-2386","PMID":"31187189","PMCID":"PMC6765473","source":"PubMed","title":"Regional variation in the incidence rate and sex ratio of multiple sclerosis in Scotland 2010-2017: findings from the Scottish Multiple Sclerosis Register","title-short":"Regional variation in the incidence rate and sex ratio of multiple sclerosis in Scotland 2010-2017","volume":"266","author":[{"family":"Kearns","given":"Patrick K. A."},{"family":"Paton","given":"Martin"},{"family":"O'Neill","given":"Martin"},{"family":"Waters","given":"Chrissie"},{"family":"Colville","given":"Shuna"},{"family":"McDonald","given":"James"},{"family":"Young","given":"Ian J. B."},{"family":"Pugh","given":"Dan"},{"family":"O'Riordan","given":"Jonathon"},{"family":"Weller","given":"Belinda"},{"family":"MacDougall","given":"Niall"},{"family":"Clemens","given":"Tom"},{"family":"Dibben","given":"Chris"},{"family":"Wilson","given":"James F."},{"family":"Castro","given":"Marcia C."},{"family":"Ascherio","given":"Alberto"},{"family":"Chandran","given":"Siddharthan"},{"family":"Connick","given":"Peter"}],"issued":{"date-parts":[["2019",10]]}}},{"id":2623,"uris":["http://zotero.org/users/4535351/items/5WZHBTL5"],"itemData":{"id":2623,"type":"article-journal","abstract":"Background:\nAn increasing women-to-men ratio in later birth cohorts of patients with multiple sclerosis (MS) has been observed in several populations and has been hypothesised to be due to one or several environmental factors of importance for disease aetiology. However, in a study based on data from the Swedish MS registry (SMSreg) this ratio was recently reported to be rather stable during the 20th century.\n\nObjective:\nThe purpose of this study was to reinvestigate the women-to-men ratio in Sweden based on data from all available data sources, including deceased patients.\n\nMethod:\nWe combined data from the SMSreg with data from national patient registers.\n\nResults:\nIn total we obtained information on 19,510 MS patients born 1931–1985, 13,321 women and 6189 men. The women-to-men ratio increased from 1.70 for patients born in the 1930s to 2.67 for patients born in the 1980s. When comparing the coverage of SMSreg to the full data set, a significantly higher proportion of women born 1931–1935 compared to men born in the same period were found in SMSreg, resulting in a sampling bias hiding the increasing sex ratio in the full material.\n\nConclusion:\nThe women-to-men ratio in MS has increased in Sweden during the 20th century similarly to observations in other western countries.","container-title":"Multiple Sclerosis (Houndmills, Basingstoke, England)","DOI":"10.1177/1352458514530021","ISSN":"1352-4585","issue":"12","journalAbbreviation":"Mult Scler","page":"1578-1583","PMID":"24842964","PMCID":"PMC4230455","source":"PubMed Central","title":"New data identify an increasing sex ratio of multiple sclerosis in Sweden","volume":"20","author":[{"family":"Westerlind","given":"Helga"},{"family":"Boström","given":"Inger"},{"family":"Stawiarz","given":"Leszek"},{"family":"Landtblom","given":"Anne-Marie"},{"family":"Almqvist","given":"Catarina"},{"family":"Hillert","given":"Jan"}],"issued":{"date-parts":[["2014",10]]}}}],"schema":"https://github.com/citation-style-language/schema/raw/master/csl-citation.json"} </w:instrText>
      </w:r>
      <w:r w:rsidRPr="008C43FB">
        <w:rPr>
          <w:rFonts w:cstheme="minorHAnsi"/>
          <w:lang w:val="en-US"/>
        </w:rPr>
        <w:fldChar w:fldCharType="separate"/>
      </w:r>
      <w:r w:rsidR="003A626F" w:rsidRPr="008C43FB">
        <w:rPr>
          <w:rFonts w:ascii="Calibri" w:hAnsi="Calibri" w:cs="Calibri"/>
          <w:szCs w:val="24"/>
          <w:lang w:val="en-US"/>
        </w:rPr>
        <w:t>[4–6]</w:t>
      </w:r>
      <w:r w:rsidRPr="008C43FB">
        <w:rPr>
          <w:rFonts w:cstheme="minorHAnsi"/>
          <w:lang w:val="en-US"/>
        </w:rPr>
        <w:fldChar w:fldCharType="end"/>
      </w:r>
      <w:r w:rsidR="00684393" w:rsidRPr="008C43FB">
        <w:rPr>
          <w:rFonts w:cstheme="minorHAnsi"/>
          <w:lang w:val="en-US"/>
        </w:rPr>
        <w:t>.</w:t>
      </w:r>
      <w:r w:rsidR="007B7849" w:rsidRPr="008C43FB">
        <w:rPr>
          <w:rFonts w:cstheme="minorHAnsi"/>
          <w:lang w:val="en-US"/>
        </w:rPr>
        <w:t xml:space="preserve"> </w:t>
      </w:r>
      <w:r w:rsidR="00AC02BA" w:rsidRPr="008C43FB">
        <w:rPr>
          <w:rFonts w:cstheme="minorHAnsi"/>
          <w:lang w:val="en-US"/>
        </w:rPr>
        <w:t xml:space="preserve">In Europe, between 2015 and 2019, 2 to 4 women </w:t>
      </w:r>
      <w:r w:rsidR="00DA2AB9" w:rsidRPr="008C43FB">
        <w:rPr>
          <w:rFonts w:cstheme="minorHAnsi"/>
          <w:lang w:val="en-US"/>
        </w:rPr>
        <w:t xml:space="preserve">of childbearing age </w:t>
      </w:r>
      <w:r w:rsidR="00AC02BA" w:rsidRPr="008C43FB">
        <w:rPr>
          <w:rFonts w:cstheme="minorHAnsi"/>
          <w:lang w:val="en-US"/>
        </w:rPr>
        <w:t>per 1,000 were estimated to have multiple sclerosis</w:t>
      </w:r>
      <w:r w:rsidR="00DA2AB9" w:rsidRPr="008C43FB">
        <w:rPr>
          <w:rFonts w:cstheme="minorHAnsi"/>
          <w:lang w:val="en-US"/>
        </w:rPr>
        <w:t xml:space="preserve"> </w:t>
      </w:r>
      <w:r w:rsidR="00E8054E" w:rsidRPr="008C43FB">
        <w:rPr>
          <w:rFonts w:cstheme="minorHAnsi"/>
          <w:lang w:val="en-US"/>
        </w:rPr>
        <w:fldChar w:fldCharType="begin"/>
      </w:r>
      <w:r w:rsidR="00890BE5" w:rsidRPr="008C43FB">
        <w:rPr>
          <w:rFonts w:cstheme="minorHAnsi"/>
          <w:lang w:val="en-US"/>
        </w:rPr>
        <w:instrText xml:space="preserve"> ADDIN ZOTERO_ITEM CSL_CITATION {"citationID":"FgI8dc07","properties":{"formattedCitation":"[7]","plainCitation":"[7]","noteIndex":0},"citationItems":[{"id":3004,"uris":["http://zotero.org/users/4535351/items/IJPJ6RGH"],"itemData":{"id":3004,"type":"article-newspaper","container-title":"European Journal of Epidemiology","title":"Identifying multiple sclerosis in women of childbearing age in six European countries: A contribution from the ConcePTION project","author":[{"family":"Beslay","given":"Marie"},{"family":"Geissbühler","given":"Yvonne"},{"family":"Beau","given":"Anna-Belle"},{"family":"Messina","given":"Davide"},{"family":"Bénévent","given":"Justine"},{"family":"Ballardini","given":"Elisa"},{"family":"Barrachina-Bonet","given":"Laia"},{"family":"Cavero-Carbonell","given":"Clara"},{"family":"Coldea","given":"Alex"},{"family":"García-Villodre","given":"Laura"},{"family":"Geldhof","given":"Anja"},{"family":"Gini","given":"Rosa"},{"family":"Hellwig","given":"Kerstin"},{"family":"Jordan","given":"Sue"},{"family":"Leinonen","given":"Maarit K."},{"family":"Lopez-Leon","given":"Sandra"},{"family":"Manfrini","given":"Marco"},{"family":"Martikainen","given":"Visa"},{"family":"Mitter","given":"Vera R"},{"literal":"Neville, Amanda J"},{"literal":"Nordeng, Hedvig"},{"literal":"Puccini, Aurora"},{"literal":"Vukusic, Sandra"},{"literal":"Morris, Joan K"},{"literal":"Damase-Michel, Christine"}],"issued":{"literal":"Submitted"}}}],"schema":"https://github.com/citation-style-language/schema/raw/master/csl-citation.json"} </w:instrText>
      </w:r>
      <w:r w:rsidR="00E8054E" w:rsidRPr="008C43FB">
        <w:rPr>
          <w:rFonts w:cstheme="minorHAnsi"/>
          <w:lang w:val="en-US"/>
        </w:rPr>
        <w:fldChar w:fldCharType="separate"/>
      </w:r>
      <w:r w:rsidR="00890BE5" w:rsidRPr="008C43FB">
        <w:rPr>
          <w:rFonts w:ascii="Calibri" w:hAnsi="Calibri" w:cs="Calibri"/>
          <w:lang w:val="en-US"/>
        </w:rPr>
        <w:t>[7]</w:t>
      </w:r>
      <w:r w:rsidR="00E8054E" w:rsidRPr="008C43FB">
        <w:rPr>
          <w:rFonts w:cstheme="minorHAnsi"/>
          <w:lang w:val="en-US"/>
        </w:rPr>
        <w:fldChar w:fldCharType="end"/>
      </w:r>
      <w:r w:rsidR="00DA2AB9" w:rsidRPr="008C43FB">
        <w:rPr>
          <w:rFonts w:cstheme="minorHAnsi"/>
          <w:lang w:val="en-US"/>
        </w:rPr>
        <w:t xml:space="preserve">. </w:t>
      </w:r>
      <w:r w:rsidR="00192E5F" w:rsidRPr="008C43FB">
        <w:rPr>
          <w:rFonts w:cstheme="minorHAnsi"/>
          <w:lang w:val="en-US"/>
        </w:rPr>
        <w:t>While pregnancy has been associated with a significant reduction in MS relapse rates</w:t>
      </w:r>
      <w:r w:rsidR="002C785F" w:rsidRPr="008C43FB">
        <w:rPr>
          <w:rFonts w:cstheme="minorHAnsi"/>
          <w:lang w:val="en-US"/>
        </w:rPr>
        <w:t xml:space="preserve">, </w:t>
      </w:r>
      <w:r w:rsidR="00192E5F" w:rsidRPr="008C43FB">
        <w:rPr>
          <w:rFonts w:cstheme="minorHAnsi"/>
          <w:lang w:val="en-US"/>
        </w:rPr>
        <w:t>likely due to immunological adaptations that occur during gestation</w:t>
      </w:r>
      <w:r w:rsidR="002C785F" w:rsidRPr="008C43FB">
        <w:rPr>
          <w:rFonts w:cstheme="minorHAnsi"/>
          <w:lang w:val="en-US"/>
        </w:rPr>
        <w:t>,</w:t>
      </w:r>
      <w:r w:rsidR="006C5D83" w:rsidRPr="008C43FB">
        <w:rPr>
          <w:rFonts w:cstheme="minorHAnsi"/>
          <w:lang w:val="en-US"/>
        </w:rPr>
        <w:t xml:space="preserve"> </w:t>
      </w:r>
      <w:r w:rsidR="00192E5F" w:rsidRPr="008C43FB">
        <w:rPr>
          <w:rFonts w:cstheme="minorHAnsi"/>
          <w:lang w:val="en-US"/>
        </w:rPr>
        <w:t>an increase in disease activity is frequently observed after delivery, requiring careful management</w:t>
      </w:r>
      <w:r w:rsidR="00EF4AD6" w:rsidRPr="008C43FB">
        <w:rPr>
          <w:rFonts w:cstheme="minorHAnsi"/>
          <w:lang w:val="en-US"/>
        </w:rPr>
        <w:t xml:space="preserve"> </w:t>
      </w:r>
      <w:r w:rsidR="00EF4AD6" w:rsidRPr="008C43FB">
        <w:rPr>
          <w:rFonts w:cstheme="minorHAnsi"/>
          <w:lang w:val="en-US"/>
        </w:rPr>
        <w:fldChar w:fldCharType="begin"/>
      </w:r>
      <w:r w:rsidR="003A626F" w:rsidRPr="008C43FB">
        <w:rPr>
          <w:rFonts w:cstheme="minorHAnsi"/>
          <w:lang w:val="en-US"/>
        </w:rPr>
        <w:instrText xml:space="preserve"> ADDIN ZOTERO_ITEM CSL_CITATION {"citationID":"065zOJgD","properties":{"formattedCitation":"[8]","plainCitation":"[8]","noteIndex":0},"citationItems":[{"id":2723,"uris":["http://zotero.org/users/4535351/items/MAGHGFRE"],"itemData":{"id":2723,"type":"article-journal","abstract":"Multiple sclerosis (MS) is usually diagnosed between twenty and forty years of age, when people often plan to have children. A lot has been said about the effect of pregnancy on the course of MS. The individual factors responsible for the disease modifying effect of pregnancy are not well determined. Having MS neither affects the fertility or the course of pregnancy itself. During pregnancy, many women find that their symptoms stay the same or even improve. Epidural and spinal analgesia appear to be safe and in general are not contraindicated for patients with MS. The management of disease-modifying treatments (DMTs) in pregnancy is a new issue for consideration in the clinical practice. There is limited information available into the safety of DMT use during pregnancy, especially for the most recent ones. In general, discontinuation of DMTs is recommended before conception to minimize risk of fetal harm. Women with very active MS before pregnancy who stop second-line treatments may show an increase in disease activity during pregnancy. Therefore, it might be discussed to maintain patients on DMTs until pregnancy is confirmed, and sometimes throughout pregnancy, to avoid a rebound of disease activity and severe relapses during pregnancy in very active patients.","container-title":"Revue Neurologique","DOI":"10.1016/j.neurol.2020.05.005","ISSN":"0035-3787","issue":"3","journalAbbreviation":"Revue Neurologique","page":"180-194","source":"ScienceDirect","title":"Pregnancy with multiple sclerosis","volume":"177","author":[{"family":"Vukusic","given":"S."},{"family":"Michel","given":"L."},{"family":"Leguy","given":"S."},{"family":"Lebrun-Frenay","given":"C."}],"issued":{"date-parts":[["2021",3,1]]}}}],"schema":"https://github.com/citation-style-language/schema/raw/master/csl-citation.json"} </w:instrText>
      </w:r>
      <w:r w:rsidR="00EF4AD6" w:rsidRPr="008C43FB">
        <w:rPr>
          <w:rFonts w:cstheme="minorHAnsi"/>
          <w:lang w:val="en-US"/>
        </w:rPr>
        <w:fldChar w:fldCharType="separate"/>
      </w:r>
      <w:r w:rsidR="003A626F" w:rsidRPr="008C43FB">
        <w:rPr>
          <w:rFonts w:ascii="Calibri" w:hAnsi="Calibri" w:cs="Calibri"/>
          <w:lang w:val="en-US"/>
        </w:rPr>
        <w:t>[8]</w:t>
      </w:r>
      <w:r w:rsidR="00EF4AD6" w:rsidRPr="008C43FB">
        <w:rPr>
          <w:rFonts w:cstheme="minorHAnsi"/>
          <w:lang w:val="en-US"/>
        </w:rPr>
        <w:fldChar w:fldCharType="end"/>
      </w:r>
      <w:r w:rsidR="00AE7D87" w:rsidRPr="008C43FB">
        <w:rPr>
          <w:rFonts w:cstheme="minorHAnsi"/>
          <w:lang w:val="en-US"/>
        </w:rPr>
        <w:t xml:space="preserve">. </w:t>
      </w:r>
      <w:r w:rsidR="00B12261" w:rsidRPr="008C43FB">
        <w:rPr>
          <w:rFonts w:cstheme="minorHAnsi"/>
          <w:lang w:val="en-US"/>
        </w:rPr>
        <w:t>C</w:t>
      </w:r>
      <w:r w:rsidR="00D12789" w:rsidRPr="008C43FB">
        <w:rPr>
          <w:rFonts w:cstheme="minorHAnsi"/>
          <w:lang w:val="en-US"/>
        </w:rPr>
        <w:t>urrent evidence does not indicate that the disease increases the risk of adverse pregnancy outcomes</w:t>
      </w:r>
      <w:r w:rsidR="00672221" w:rsidRPr="008C43FB">
        <w:rPr>
          <w:rFonts w:cstheme="minorHAnsi"/>
          <w:lang w:val="en-US"/>
        </w:rPr>
        <w:t xml:space="preserve"> </w:t>
      </w:r>
      <w:r w:rsidR="007B7849" w:rsidRPr="008C43FB">
        <w:rPr>
          <w:rFonts w:cstheme="minorHAnsi"/>
          <w:lang w:val="en-US"/>
        </w:rPr>
        <w:fldChar w:fldCharType="begin"/>
      </w:r>
      <w:r w:rsidR="00890BE5" w:rsidRPr="008C43FB">
        <w:rPr>
          <w:rFonts w:cstheme="minorHAnsi"/>
          <w:lang w:val="en-US"/>
        </w:rPr>
        <w:instrText xml:space="preserve"> ADDIN ZOTERO_ITEM CSL_CITATION {"citationID":"aJOG2A3S","properties":{"formattedCitation":"[1,9\\uc0\\u8211{}14]","plainCitation":"[1,9–14]","noteIndex":0},"citationItems":[{"id":2069,"uris":["http://zotero.org/users/4535351/items/4ICTV23N"],"itemData":{"id":2069,"type":"article-journal","abstract":"OBJECTIVE: The objective of this study was to develop evidence-based recommendations on pregnancy management for persons with multiple sclerosis (MS).\nBACKGROUND: MS typically affects young women in their childbearing years. Increasing evidence is available to inform questions raised by MS patients and health professionals about pregnancy issues.\nMETHODS: The French Group for Recommendations in Multiple Sclerosis (France4MS) reviewed PubMed and university databases (January 1975 through June 2021). The RAND/UCLA appropriateness method was developed to synthesise the scientific literature and expert opinions on healthcare topics; it was used to reach a formal agreement. Fifty-six MS experts worked on the full-text review and initial wording of recommendations. A group of 62 multidisciplinary healthcare specialists validated the final proposal of summarised evidence.\nRESULTS: A strong agreement was reached for all 104 proposed recommendations. They cover diverse topics, such as pregnancy planning, follow-up during pregnancy and postpartum, delivery routes, locoregional analgesia or anaesthesia, prevention of postpartum relapses, breastfeeding, vaccinations, reproductive assistance, management of relapses and disease-modifying treatments.\nCONCLUSION: The 2022 recommendations of the French MS society should be helpful to harmonise counselling and treatment practice for pregnancy in persons with MS, allowing for better and individualised choices.","container-title":"Multiple Sclerosis (Houndmills, Basingstoke, England)","DOI":"10.1177/13524585221129472","ISSN":"1477-0970","journalAbbreviation":"Mult Scler","language":"eng","page":"13524585221129472","PMID":"36317497","source":"PubMed","title":"Pregnancy and multiple sclerosis: 2022 recommendations from the French multiple sclerosis society","title-short":"Pregnancy and multiple sclerosis","author":[{"family":"Vukusic","given":"Sandra"},{"family":"Carra-Dalliere","given":"Clarisse"},{"family":"Ciron","given":"Jonathan"},{"family":"Maillart","given":"Elisabeth"},{"family":"Michel","given":"Laure"},{"family":"Leray","given":"Emmanuelle"},{"family":"Guennoc","given":"Anne-Marie"},{"family":"Bourre","given":"Bertrand"},{"family":"Laplaud","given":"David"},{"family":"Androdias","given":"Géraldine"},{"family":"Bensa","given":"Caroline"},{"family":"Bigaut","given":"Kevin"},{"family":"Biotti","given":"Damien"},{"family":"Branger","given":"Pierre"},{"family":"Casez","given":"Olivier"},{"family":"Cohen","given":"Mikael"},{"family":"Daval","given":"Elodie"},{"family":"Deschamps","given":"Romain"},{"family":"Donze","given":"Cécile"},{"family":"Dubessy","given":"Anne-Laure"},{"family":"Dulau","given":"Cécile"},{"family":"Durand-Dubief","given":"Françoise"},{"family":"Guillaume","given":"Maxime"},{"family":"Hebant","given":"Benjamin"},{"family":"Kremer","given":"Laurent"},{"family":"Kwiatkowski","given":"Arnaud"},{"family":"Lannoy","given":"Julien"},{"family":"Maarouf","given":"Adil"},{"family":"Manchon","given":"Eric"},{"family":"Mathey","given":"Guillaume"},{"family":"Moisset","given":"Xavier"},{"family":"Montcuquet","given":"Alexis"},{"family":"Pique","given":"Julie"},{"family":"Roux","given":"Thomas"},{"family":"Marignier","given":"Romain"},{"family":"Lebrun-Frenay","given":"Christine"}],"issued":{"date-parts":[["2022",11,1]]}}},{"id":2324,"uris":["http://zotero.org/users/4535351/items/FCKIA4AK"],"itemData":{"id":2324,"type":"article-journal","abstract":"Multiple sclerosis is often diagnosed in patients who are planning on having children. Although multiple sclerosis does not negatively influence most pregnancy outcomes, less is known regarding the effects of fetal exposure to novel disease-modifying therapies (DMTs). The withdrawal of some DMTs during pregnancy can modify the natural history of multiple sclerosis, resulting in a substantial risk of pregnancy-related relapse and disability. Drug labels are typically restrictive and favour fetal safety over maternal safety. Emerging data reporting outcomes in neonates exposed to DMTs in utero and through breastfeeding will allow for more careful and individualised treatment decisions. This emerging research is particularly important to guide decision making in women with high disease activity or who are treated with DMTs associated with risk of discontinuation rebound. As increasing data are generated in this field, periodic updates will be required to provide the most up to date guidance on how best to achieve multiple sclerosis stability during pregnancy and post partum, balanced with fetal and newborn safety.","container-title":"The Lancet. Neurology","DOI":"10.1016/S1474-4422(22)00426-4","ISSN":"1474-4465","issue":"4","journalAbbreviation":"Lancet Neurol","language":"eng","page":"350-366","PMID":"36931808","source":"PubMed","title":"Family planning considerations in people with multiple sclerosis","volume":"22","author":[{"family":"Krysko","given":"Kristen M."},{"family":"Dobson","given":"Ruth"},{"family":"Alroughani","given":"Raed"},{"family":"Amato","given":"Maria Pia"},{"family":"Bove","given":"Riley"},{"family":"Ciplea","given":"Andrea I."},{"family":"Fragoso","given":"Yara"},{"family":"Houtchens","given":"Maria"},{"family":"Jokubaitis","given":"Vilija G."},{"family":"Magyari","given":"Melinda"},{"family":"Abdelnasser","given":"Azza"},{"family":"Padma","given":"Vasantha"},{"family":"Thiel","given":"Sandra"},{"family":"Tintore","given":"Mar"},{"family":"Vukusic","given":"Sandra"},{"family":"Hellwig","given":"Kerstin"}],"issued":{"date-parts":[["2023",4]]}}},{"id":2570,"uris":["http://zotero.org/users/4535351/items/EM5SV8E2"],"itemData":{"id":2570,"type":"article-journal","abstract":"The majority of individuals obtaining the diagnosis of multiple sclerosis are women of childbearing age. They are naturally concerned as to how multiple sclerosis affects the course of pregnancy and the developing foetus. The objective of this study was to prospectively evaluate the incidence of pregnancy complications and delivery risks, and to follow the natural course of multiple sclerosis during and after pregnancy in a cohort of Finnish patients with multiple sclerosis. Sixty-one patients with multiple sclerosis who became pregnant during the years 2003-2005 were prospectively followed-up from early pregnancy until 6 months postpartum. Multiple sclerosis relapses, Expanded Disability Status Scale rates and obstetric details were recorded. The results were compared with the statistics obtained from Finnish Medical Birth Register from the year 2004. We found that patients with multiple sclerosis were no more likely to experience pregnancy complications than Finnish pregnant women generally, but they had a greater likelihood for a need of artificial insemination (4.9% vs. 0.9%; p = 0.0009). Subjects with multiple sclerosis were more likely to undergo assisted vaginal delivery than the at-large cohort (16.4% vs. 6.5%; p = 0.0017). We conclude that pregnancy does not seem to pose a woman with multiple sclerosis to a greater risk for pregnancy complications when compared with women in general. The potential need for instrumental delivery should, however, be taken into account when planning the delivery of a mother with multiple sclerosis.","container-title":"Multiple Sclerosis (Houndmills, Basingstoke, England)","DOI":"10.1177/1352458510372629","ISSN":"1477-0970","issue":"8","journalAbbreviation":"Mult Scler","language":"eng","page":"950-955","PMID":"20542921","source":"PubMed","title":"Pregnancy outcome in women with multiple sclerosis: results from a prospective nationwide study in Finland","title-short":"Pregnancy outcome in women with multiple sclerosis","volume":"16","author":[{"family":"Jalkanen","given":"A."},{"family":"Alanen","given":"A."},{"family":"Airas","given":"L."},{"literal":"Finnish Multiple Sclerosis and Pregnancy Study Group"}],"issued":{"date-parts":[["2010",8]]}}},{"id":2161,"uris":["http://zotero.org/users/4535351/items/CNHYJGCS"],"itemData":{"id":2161,"type":"article-journal","abstract":"Few studies have assessed the risk of adverse pregnancy outcomes in women with multiple sclerosis (MS). We used 2 large US administrative databases, the Truven Health MarketScan Database (2011-2015; Truven Health Analytics Inc., Ann Arbor, Michigan) and the Nationwide Inpatient Sample (2007-2011), to identify delivery cohorts. MS and pregnancy outcomes (infections, cesarean delivery, preterm delivery, poor fetal growth, preeclampsia, chorioamnionitis, postpartum hemorrhage, stillbirth, and infant malformations) were identified during pregnancy and at delivery. We calculated adjusted risk ratios according to MS status and relapse(s) in the year before delivery. Among over 5 million pregnancies, we identified 3,875 pregnancies in women with MS. Women with MS had an increased risk of infections during pregnancy (Truven Health: adjusted risk ratio (aRR) = 1.22, 95% confidence interval (CI): 1.16, 1.27) and preterm delivery (Truven Health: aRR = 1.19 (95% CI: 1.04, 1.35); Nationwide Inpatient Sample: aRR = 1.30 (95% CI: 1.16, 1.44)). The risks of other outcomes were similar for women with and without MS. In the Truven Health database, risk ratios for the pregnancy outcomes in women experiencing relapses versus those without relapses were between 0.9 and 1.4, and confidence intervals overlapped the null. Overall, women with MS had an increased risk of infections and preterm delivery; however, their risks for other adverse pregnancy outcomes were not elevated. Disease activity before delivery was not a strong predictor of outcomes.","container-title":"American Journal of Epidemiology","DOI":"10.1093/aje/kwy197","ISSN":"1476-6256","issue":"1","journalAbbreviation":"Am J Epidemiol","language":"eng","page":"57-66","PMID":"30165561","PMCID":"PMC6321796","source":"PubMed","title":"Pregnancy Outcomes in Women With Multiple Sclerosis","volume":"188","author":[{"family":"MacDonald","given":"Sarah C."},{"family":"McElrath","given":"Thomas F."},{"family":"Hernández-Díaz","given":"Sonia"}],"issued":{"date-parts":[["2019",1,1]]}}},{"id":2703,"uris":["http://zotero.org/users/4535351/items/F4YPZCF8"],"itemData":{"id":2703,"type":"article-journal","container-title":"Neurology","language":"en","page":"447-52","source":"pesquisa.bvsalud.org","title":"Birth hospitalization in mothers with multiple sclerosis and their newborns.","author":[{"family":"Lu","given":"Ellen"},{"family":"Zhao","given":"Yinshan"},{"family":"Zhu","given":"Feng"},{"family":"Kop","given":"Mia L.","non-dropping-particle":"van der"},{"family":"Synnes","given":"Anne"},{"family":"Dahlgren","given":"Leanne"},{"family":"Sadovnick","given":"A. Dessa"},{"family":"Sayao","given":"Ana-Luiza"},{"family":"Tremlett","given":"Helen"}],"issued":{"date-parts":[["2013"]]}}},{"id":2705,"uris":["http://zotero.org/users/4535351/items/CIHR6SI2"],"itemData":{"id":2705,"type":"article-journal","abstract":"OBJECTIVE: To examine the evidence guiding management of multiple sclerosis (MS) in reproductive-aged women.\nDATA SOURCES: We conducted an electronic literature search using PubMed, ClinicalTrials.gov, and other available resources. The following keywords were used: \"multiple sclerosis\" and \"pregnancy.\" We manually searched the reference lists of identified studies.\nMETHODS OF STUDY SELECTION: Two reviewers categorized all studies identified in the search by management topic, including effect of pregnancy on MS course, fetal risks associated with disease-modifying treatments during pregnancy, and management of patients off disease-modifying treatment. We categorized studies by strength of evidence and included prior meta-analyses and systematic studies. These studies were then summarized and discussed by an expert multidisciplinary team.\nTABULATION, INTEGRATION, AND RESULTS: The risk of MS relapses is decreased during pregnancy and increased postpartum. Data are lacking regarding the risks of disease-modifying treatments during pregnancy. There may be an increased risk of MS relapses after use of assisted reproductive techniques. There does not appear to be a major increase in adverse outcomes in newborns of mothers with MS.\nCONCLUSION: Although there are many unmet research needs, the reviewed data support the conclusion that in the majority of cases, women with MS can safely choose to become pregnant, give birth, and breastfeed children. Clinical management should be individualized to optimize both the mother's reproductive outcomes and MS course.","container-title":"Obstetrics and Gynecology","DOI":"10.1097/AOG.0000000000000541","ISSN":"1873-233X","issue":"6","journalAbbreviation":"Obstet Gynecol","language":"eng","page":"1157-1168","PMID":"25415167","source":"PubMed","title":"Management of multiple sclerosis during pregnancy and the reproductive years: a systematic review","title-short":"Management of multiple sclerosis during pregnancy and the reproductive years","volume":"124","author":[{"family":"Bove","given":"Riley"},{"family":"Alwan","given":"Sura"},{"family":"Friedman","given":"Jan M."},{"family":"Hellwig","given":"Kerstin"},{"family":"Houtchens","given":"Maria"},{"family":"Koren","given":"Gideon"},{"family":"Lu","given":"Ellen"},{"family":"McElrath","given":"Thomas F."},{"family":"Smyth","given":"Penelope"},{"family":"Tremlett","given":"Helen"},{"family":"Sadovnick","given":"A. Dessa"}],"issued":{"date-parts":[["2014",12]]}}},{"id":2707,"uris":["http://zotero.org/users/4535351/items/YFM65US9"],"itemData":{"id":2707,"type":"article-journal","abstract":"INTRODUCTION: Women represent two-thirds of the MS population and are usually diagnosed during childbearing age. Collection of local information about pregnancy outcomes is fundamental to support individual decision-making.\nOBJECTIVE: To explore the trends in pregnancy decision making and pregnancy outcomes before (PreMS) and after (PostMS) MS diagnosis.\nMETHODS: We developed a questionnaire for retrospective assessment of pregnancy outcomes in PreMS and PostMS patients under regular care at the Programa de Esclerosis Multiple UC in Chile.\nRESULTS: From the 218 women who responded to the questionnaire, 67 women did not have pregnancies. The total number of pregnancies registered was 299, 223 were PreMS (97 women, mean 2.5 ± 1.3 per/woman), and 76 PostMS (59 women, mean 1.9 ± 1.1 per/woman, p = 0.003). Mean age at first pregnancy was 27.6 ± 6.2 in PreMS, and 32.6 ± 4.6 years in PostMS women (p &lt; 0.001). Significant differences between PreMS and PostMS pregnancy outcomes were cesarean section (37% vs. 66%; OR 2.74 95%CI(1.5-52), p=0.002), suspected relapse during 6 months after birth (7% vs. 18%, p&lt;0.001), and breastfeeding (83% vs 67%, p=0.005). Gestational age, weight/size at birth, were not different between groups. Major malformations were observed similarly in both groups.\nCONCLUSIONS: Changes in pregnancy decision-making after MS diagnosis occur, having fewer children and at an older age. It also changes obstetrician decisions for cesarean sections, with a 3 fold increase. Regarding newborn outcomes, there were no differences between groups.","container-title":"Multiple Sclerosis and Related Disorders","DOI":"10.1016/j.msard.2020.102682","ISSN":"2211-0356","journalAbbreviation":"Mult Scler Relat Disord","language":"eng","page":"102682","PMID":"33321343","source":"PubMed","title":"Pregnancy outcomes in women with Multiple Sclerosis","volume":"48","author":[{"family":"Soler","given":"Bernardita"},{"family":"Ciampi","given":"Ethel"},{"family":"Uribe-San-Martín","given":"Reinaldo"},{"family":"Keller","given":"Karina"},{"family":"Astudillo","given":"Macarena"},{"family":"Charaf","given":"Valeria"},{"family":"Reyes","given":"Ana"},{"family":"Vergara","given":"Elizabeth"},{"family":"Cárcamo","given":"Claudia"}],"issued":{"date-parts":[["2021",2]]}}}],"schema":"https://github.com/citation-style-language/schema/raw/master/csl-citation.json"} </w:instrText>
      </w:r>
      <w:r w:rsidR="007B7849" w:rsidRPr="008C43FB">
        <w:rPr>
          <w:rFonts w:cstheme="minorHAnsi"/>
          <w:lang w:val="en-US"/>
        </w:rPr>
        <w:fldChar w:fldCharType="separate"/>
      </w:r>
      <w:r w:rsidR="003A626F" w:rsidRPr="008C43FB">
        <w:rPr>
          <w:rFonts w:ascii="Calibri" w:hAnsi="Calibri" w:cs="Calibri"/>
          <w:szCs w:val="24"/>
          <w:lang w:val="en-US"/>
        </w:rPr>
        <w:t>[1,9–14]</w:t>
      </w:r>
      <w:r w:rsidR="007B7849" w:rsidRPr="008C43FB">
        <w:rPr>
          <w:rFonts w:cstheme="minorHAnsi"/>
          <w:lang w:val="en-US"/>
        </w:rPr>
        <w:fldChar w:fldCharType="end"/>
      </w:r>
      <w:r w:rsidR="009C227E" w:rsidRPr="008C43FB">
        <w:rPr>
          <w:rFonts w:cstheme="minorHAnsi"/>
          <w:lang w:val="en-US"/>
        </w:rPr>
        <w:t>.</w:t>
      </w:r>
      <w:r w:rsidR="007D40CC" w:rsidRPr="008C43FB">
        <w:rPr>
          <w:rFonts w:cstheme="minorHAnsi"/>
          <w:lang w:val="en-US"/>
        </w:rPr>
        <w:t xml:space="preserve"> </w:t>
      </w:r>
      <w:r w:rsidR="00376FD1" w:rsidRPr="008C43FB">
        <w:rPr>
          <w:rFonts w:cstheme="minorHAnsi"/>
          <w:lang w:val="en-US"/>
        </w:rPr>
        <w:t>Regarding the risk of congenital anomalies</w:t>
      </w:r>
      <w:r w:rsidR="0055520C" w:rsidRPr="008C43FB">
        <w:rPr>
          <w:rFonts w:cstheme="minorHAnsi"/>
          <w:lang w:val="en-US"/>
        </w:rPr>
        <w:t xml:space="preserve"> (CA)</w:t>
      </w:r>
      <w:r w:rsidR="00F77402" w:rsidRPr="008C43FB">
        <w:rPr>
          <w:rFonts w:cstheme="minorHAnsi"/>
          <w:lang w:val="en-US"/>
        </w:rPr>
        <w:t xml:space="preserve">, most studies provide reassuring results </w:t>
      </w:r>
      <w:r w:rsidR="00F77402" w:rsidRPr="008C43FB">
        <w:rPr>
          <w:rFonts w:cstheme="minorHAnsi"/>
          <w:lang w:val="en-US"/>
        </w:rPr>
        <w:fldChar w:fldCharType="begin"/>
      </w:r>
      <w:r w:rsidR="00890BE5" w:rsidRPr="008C43FB">
        <w:rPr>
          <w:rFonts w:cstheme="minorHAnsi"/>
          <w:lang w:val="en-US"/>
        </w:rPr>
        <w:instrText xml:space="preserve"> ADDIN ZOTERO_ITEM CSL_CITATION {"citationID":"9KVvSGCJ","properties":{"formattedCitation":"[10\\uc0\\u8211{}18]","plainCitation":"[10–18]","noteIndex":0},"citationItems":[{"id":2570,"uris":["http://zotero.org/users/4535351/items/EM5SV8E2"],"itemData":{"id":2570,"type":"article-journal","abstract":"The majority of individuals obtaining the diagnosis of multiple sclerosis are women of childbearing age. They are naturally concerned as to how multiple sclerosis affects the course of pregnancy and the developing foetus. The objective of this study was to prospectively evaluate the incidence of pregnancy complications and delivery risks, and to follow the natural course of multiple sclerosis during and after pregnancy in a cohort of Finnish patients with multiple sclerosis. Sixty-one patients with multiple sclerosis who became pregnant during the years 2003-2005 were prospectively followed-up from early pregnancy until 6 months postpartum. Multiple sclerosis relapses, Expanded Disability Status Scale rates and obstetric details were recorded. The results were compared with the statistics obtained from Finnish Medical Birth Register from the year 2004. We found that patients with multiple sclerosis were no more likely to experience pregnancy complications than Finnish pregnant women generally, but they had a greater likelihood for a need of artificial insemination (4.9% vs. 0.9%; p = 0.0009). Subjects with multiple sclerosis were more likely to undergo assisted vaginal delivery than the at-large cohort (16.4% vs. 6.5%; p = 0.0017). We conclude that pregnancy does not seem to pose a woman with multiple sclerosis to a greater risk for pregnancy complications when compared with women in general. The potential need for instrumental delivery should, however, be taken into account when planning the delivery of a mother with multiple sclerosis.","container-title":"Multiple Sclerosis (Houndmills, Basingstoke, England)","DOI":"10.1177/1352458510372629","ISSN":"1477-0970","issue":"8","journalAbbreviation":"Mult Scler","language":"eng","page":"950-955","PMID":"20542921","source":"PubMed","title":"Pregnancy outcome in women with multiple sclerosis: results from a prospective nationwide study in Finland","title-short":"Pregnancy outcome in women with multiple sclerosis","volume":"16","author":[{"family":"Jalkanen","given":"A."},{"family":"Alanen","given":"A."},{"family":"Airas","given":"L."},{"literal":"Finnish Multiple Sclerosis and Pregnancy Study Group"}],"issued":{"date-parts":[["2010",8]]}}},{"id":2161,"uris":["http://zotero.org/users/4535351/items/CNHYJGCS"],"itemData":{"id":2161,"type":"article-journal","abstract":"Few studies have assessed the risk of adverse pregnancy outcomes in women with multiple sclerosis (MS). We used 2 large US administrative databases, the Truven Health MarketScan Database (2011-2015; Truven Health Analytics Inc., Ann Arbor, Michigan) and the Nationwide Inpatient Sample (2007-2011), to identify delivery cohorts. MS and pregnancy outcomes (infections, cesarean delivery, preterm delivery, poor fetal growth, preeclampsia, chorioamnionitis, postpartum hemorrhage, stillbirth, and infant malformations) were identified during pregnancy and at delivery. We calculated adjusted risk ratios according to MS status and relapse(s) in the year before delivery. Among over 5 million pregnancies, we identified 3,875 pregnancies in women with MS. Women with MS had an increased risk of infections during pregnancy (Truven Health: adjusted risk ratio (aRR) = 1.22, 95% confidence interval (CI): 1.16, 1.27) and preterm delivery (Truven Health: aRR = 1.19 (95% CI: 1.04, 1.35); Nationwide Inpatient Sample: aRR = 1.30 (95% CI: 1.16, 1.44)). The risks of other outcomes were similar for women with and without MS. In the Truven Health database, risk ratios for the pregnancy outcomes in women experiencing relapses versus those without relapses were between 0.9 and 1.4, and confidence intervals overlapped the null. Overall, women with MS had an increased risk of infections and preterm delivery; however, their risks for other adverse pregnancy outcomes were not elevated. Disease activity before delivery was not a strong predictor of outcomes.","container-title":"American Journal of Epidemiology","DOI":"10.1093/aje/kwy197","ISSN":"1476-6256","issue":"1","journalAbbreviation":"Am J Epidemiol","language":"eng","page":"57-66","PMID":"30165561","PMCID":"PMC6321796","source":"PubMed","title":"Pregnancy Outcomes in Women With Multiple Sclerosis","volume":"188","author":[{"family":"MacDonald","given":"Sarah C."},{"family":"McElrath","given":"Thomas F."},{"family":"Hernández-Díaz","given":"Sonia"}],"issued":{"date-parts":[["2019",1,1]]}}},{"id":2703,"uris":["http://zotero.org/users/4535351/items/F4YPZCF8"],"itemData":{"id":2703,"type":"article-journal","container-title":"Neurology","language":"en","page":"447-52","source":"pesquisa.bvsalud.org","title":"Birth hospitalization in mothers with multiple sclerosis and their newborns.","author":[{"family":"Lu","given":"Ellen"},{"family":"Zhao","given":"Yinshan"},{"family":"Zhu","given":"Feng"},{"family":"Kop","given":"Mia L.","non-dropping-particle":"van der"},{"family":"Synnes","given":"Anne"},{"family":"Dahlgren","given":"Leanne"},{"family":"Sadovnick","given":"A. Dessa"},{"family":"Sayao","given":"Ana-Luiza"},{"family":"Tremlett","given":"Helen"}],"issued":{"date-parts":[["2013"]]}}},{"id":2705,"uris":["http://zotero.org/users/4535351/items/CIHR6SI2"],"itemData":{"id":2705,"type":"article-journal","abstract":"OBJECTIVE: To examine the evidence guiding management of multiple sclerosis (MS) in reproductive-aged women.\nDATA SOURCES: We conducted an electronic literature search using PubMed, ClinicalTrials.gov, and other available resources. The following keywords were used: \"multiple sclerosis\" and \"pregnancy.\" We manually searched the reference lists of identified studies.\nMETHODS OF STUDY SELECTION: Two reviewers categorized all studies identified in the search by management topic, including effect of pregnancy on MS course, fetal risks associated with disease-modifying treatments during pregnancy, and management of patients off disease-modifying treatment. We categorized studies by strength of evidence and included prior meta-analyses and systematic studies. These studies were then summarized and discussed by an expert multidisciplinary team.\nTABULATION, INTEGRATION, AND RESULTS: The risk of MS relapses is decreased during pregnancy and increased postpartum. Data are lacking regarding the risks of disease-modifying treatments during pregnancy. There may be an increased risk of MS relapses after use of assisted reproductive techniques. There does not appear to be a major increase in adverse outcomes in newborns of mothers with MS.\nCONCLUSION: Although there are many unmet research needs, the reviewed data support the conclusion that in the majority of cases, women with MS can safely choose to become pregnant, give birth, and breastfeed children. Clinical management should be individualized to optimize both the mother's reproductive outcomes and MS course.","container-title":"Obstetrics and Gynecology","DOI":"10.1097/AOG.0000000000000541","ISSN":"1873-233X","issue":"6","journalAbbreviation":"Obstet Gynecol","language":"eng","page":"1157-1168","PMID":"25415167","source":"PubMed","title":"Management of multiple sclerosis during pregnancy and the reproductive years: a systematic review","title-short":"Management of multiple sclerosis during pregnancy and the reproductive years","volume":"124","author":[{"family":"Bove","given":"Riley"},{"family":"Alwan","given":"Sura"},{"family":"Friedman","given":"Jan M."},{"family":"Hellwig","given":"Kerstin"},{"family":"Houtchens","given":"Maria"},{"family":"Koren","given":"Gideon"},{"family":"Lu","given":"Ellen"},{"family":"McElrath","given":"Thomas F."},{"family":"Smyth","given":"Penelope"},{"family":"Tremlett","given":"Helen"},{"family":"Sadovnick","given":"A. Dessa"}],"issued":{"date-parts":[["2014",12]]}}},{"id":2707,"uris":["http://zotero.org/users/4535351/items/YFM65US9"],"itemData":{"id":2707,"type":"article-journal","abstract":"INTRODUCTION: Women represent two-thirds of the MS population and are usually diagnosed during childbearing age. Collection of local information about pregnancy outcomes is fundamental to support individual decision-making.\nOBJECTIVE: To explore the trends in pregnancy decision making and pregnancy outcomes before (PreMS) and after (PostMS) MS diagnosis.\nMETHODS: We developed a questionnaire for retrospective assessment of pregnancy outcomes in PreMS and PostMS patients under regular care at the Programa de Esclerosis Multiple UC in Chile.\nRESULTS: From the 218 women who responded to the questionnaire, 67 women did not have pregnancies. The total number of pregnancies registered was 299, 223 were PreMS (97 women, mean 2.5 ± 1.3 per/woman), and 76 PostMS (59 women, mean 1.9 ± 1.1 per/woman, p = 0.003). Mean age at first pregnancy was 27.6 ± 6.2 in PreMS, and 32.6 ± 4.6 years in PostMS women (p &lt; 0.001). Significant differences between PreMS and PostMS pregnancy outcomes were cesarean section (37% vs. 66%; OR 2.74 95%CI(1.5-52), p=0.002), suspected relapse during 6 months after birth (7% vs. 18%, p&lt;0.001), and breastfeeding (83% vs 67%, p=0.005). Gestational age, weight/size at birth, were not different between groups. Major malformations were observed similarly in both groups.\nCONCLUSIONS: Changes in pregnancy decision-making after MS diagnosis occur, having fewer children and at an older age. It also changes obstetrician decisions for cesarean sections, with a 3 fold increase. Regarding newborn outcomes, there were no differences between groups.","container-title":"Multiple Sclerosis and Related Disorders","DOI":"10.1016/j.msard.2020.102682","ISSN":"2211-0356","journalAbbreviation":"Mult Scler Relat Disord","language":"eng","page":"102682","PMID":"33321343","source":"PubMed","title":"Pregnancy outcomes in women with Multiple Sclerosis","volume":"48","author":[{"family":"Soler","given":"Bernardita"},{"family":"Ciampi","given":"Ethel"},{"family":"Uribe-San-Martín","given":"Reinaldo"},{"family":"Keller","given":"Karina"},{"family":"Astudillo","given":"Macarena"},{"family":"Charaf","given":"Valeria"},{"family":"Reyes","given":"Ana"},{"family":"Vergara","given":"Elizabeth"},{"family":"Cárcamo","given":"Claudia"}],"issued":{"date-parts":[["2021",2]]}}},{"id":2084,"uris":["http://zotero.org/users/4535351/items/GT9HPUQK"],"itemData":{"id":2084,"type":"article-journal","abstract":"Objective\nTo compare pregnancy prevalence and complications in women with and without multiple sclerosis (MS).\n\nMethods\nThis retrospective US administrative claims study used data from January 1, 2006, to June 30, 2015. All data for women with MS were included. A nationally representative 5% random sample from approximately 58 million women without MS was used to compute the dataset. Annual pregnancy rates, identified via diagnosis/procedure codes and adjusted for covariates, were estimated via logistic regression. Claims for pregnancy and labor/delivery complications were compared using propensity score matching.\n\nResults\nFrom 2006 to 2014, the adjusted proportion of women with MS and pregnancy increased from 7.91% to 9.47%; the adjusted proportion without MS and with pregnancy decreased from 8.83% to 7.75%. The difference in linear trend (0.17% increase and 0.15% decrease in per-annum pregnancy rates) was significant (t statistic = 7.8; p &lt; 0.0001). After matching (n = 2,115 per group), a higher proportion of women with MS than without had claims for premature labor (31.4% vs 27.4%; p = 0.005), infection (13.3% vs 10.9%; p = 0.016), cardiovascular disease (3.0% vs 1.9%; p = 0.028), anemia/acquired coagulation disorders (2.5% vs 1.3%; p = 0.007), neurologic complications (1.6% vs 0.6%; p = 0.005), sexually transmitted diseases (0.4% vs 0.1%; p = 0.045), acquired fetal damage (27.8% vs 23.5%; p = 0.002), and congenital fetal malformations (13.2% vs 10.3%; p = 0.004).\n\nConclusions\nPregnancy rates in this population of women with MS have been increasing. High rates of claims for several peripartum complications were observed in women with and those without MS. Claims data provide knowledge of interactions patients have with the health care system and are valuable initial exploratory analyses.","container-title":"Neurology","DOI":"10.1212/WNL.0000000000006384","ISSN":"0028-3878","issue":"17","journalAbbreviation":"Neurology","page":"e1559-e1569","PMID":"30266889","PMCID":"PMC6205683","source":"PubMed Central","title":"Pregnancy rates and outcomes in women with and without MS in the United States","volume":"91","author":[{"family":"Houtchens","given":"Maria K."},{"family":"Edwards","given":"Natalie C."},{"family":"Schneider","given":"Gary"},{"family":"Stern","given":"Kevin"},{"family":"Phillips","given":"Amy L."}],"issued":{"date-parts":[["2018",10,23]]}}},{"id":2534,"uris":["http://zotero.org/users/4535351/items/8GCA9N5T"],"itemData":{"id":2534,"type":"article-journal","abstract":"Objectives\nThe impact of multiple sclerosis (MS) on maternal and neonatal outcomes is not well known. This systematic review and meta-analysis aimed to study the impacts of MS on maternal and neonatal outcomes in pregnant women with a history of MS.\nMethods\nThis review was designed in line with the PRISMA guidelines. Two researchers conducted independent reviews of the literature without time restrictions until January 2023 using international databases, including PubMed, Web of Science, CINAHL Plus, Embase, Scopus, Science Direct, and Google Scholar. A random-effect meta-analysis, using the db metan command in Stata 17.2 was used to calculate the pooled measure of association.\nResults\nThe meta-analysis comprised 33,174,541 pregnant women (32,191 with MS and 33,142,350 as controls) from 15 studies. The findings indicate that women with a history of MS are at an increased risk of cesarean delivery (OR=1.28, 95% Confidence Intervals [CI]: 1.14-1.45, p-value: 0.042). Also, these women are at higher risk of neonatal outcomes, such as preterm birth (OR= 1.39, 95% CI: 1.08-1.78, p-value: 0.02), congenital malformations (OR=1.32, 95%CI: 1.16-1.50, p-value: 0.031), Apgar score &lt;7 (OR=2.13, 95% CI: 1.19-3.79, p-value: 0.03), and small for gestational age (OR=1.27, 95% CI: 1.08-1.51, p-value: 0.040).\nConclusion\nPregnant women with MS had a greater chance of adverse pregnancy results than pregnant women without MS. Consequently, pregnant women with MS should create detailed before and after pregnancy to care for and take supplement, plans with their spouses, family, friends, and doctors. Future studies with prospective cohort design that control for potential confounders are needed to further validate the findings.","container-title":"Midwifery","DOI":"10.1016/j.midw.2024.104004","ISSN":"0266-6138","journalAbbreviation":"Midwifery","page":"104004","source":"ScienceDirect","title":"Maternal and neonatal outcomes in pregnant women with multiple sclerosis disease: a systematic review and meta-analysis","title-short":"Maternal and neonatal outcomes in pregnant women with multiple sclerosis disease","author":[{"family":"Rahmati","given":"Shoboo"},{"family":"Galavi","given":"Zahra"},{"family":"Kavyani","given":"Batoul"},{"family":"Arshadi","given":"Homa"},{"family":"Geerts","given":"Jaason"},{"family":"Sharifi","given":"Hamid"}],"issued":{"date-parts":[["2024",4,21]]}}},{"id":2614,"uris":["http://zotero.org/users/4535351/items/CASSQJRG"],"itemData":{"id":2614,"type":"article-journal","abstract":"There is a strong maternal parent-of-origin effect in determining susceptibility to multiple sclerosis (MS). One hypothesis is that an abnormal intrauterine milieu leading to impaired fetal development could plausibly also result in increased susceptibility to MS. A possible marker for this intrauterine insult is the presence of a non-fatal congenital anomaly.","container-title":"BMC Neurology","DOI":"10.1186/1471-2377-10-115","ISSN":"1471-2377","issue":"1","journalAbbreviation":"BMC Neurol","language":"en","page":"115","source":"Springer Link","title":"Congenital Abnormalities and Multiple Sclerosis","volume":"10","author":[{"family":"Ramagopalan","given":"Sreeram V."},{"family":"Guimond","given":"Colleen"},{"family":"Criscuoli","given":"Maria"},{"family":"Dyment","given":"David A."},{"family":"Orton","given":"Sarah-Michelle"},{"family":"Yee","given":"Irene M."},{"family":"Ebers","given":"George C."},{"family":"Sadovnick","given":"Dessa"}],"issued":{"date-parts":[["2010",11,16]]}}},{"id":2619,"uris":["http://zotero.org/users/4535351/items/V9TTQPXM"],"itemData":{"id":2619,"type":"article-journal","abstract":"Objective: To assess whether maternal multiple sclerosis (MS) is associated with adverse pregnancy outcomes by determining the clinical course of disease during pregnancy and postpartum throughout a 10-year-period in a single tertiary center. Methods: We conducted a case-control study that included pregnancies with a definitive diagnosis of MS (n=43), matched with 100 healthy pregnant women with similar characteristics. Maternal and perinatal data were retrieved from hospital files. Groups were compared with the Mann-Whitney and χ 2 tests. Logistic regression models were constructed to determine independent effects. Results: Maternal demographic and baseline laboratory data were similar across the groups. Rates of preterm delivery, fetal growth restriction, preeclampsia, gestational diabetes, stillbirth, cesarean delivery, congenital malformation, and 5-min Apgar score were comparable (P&amp;gt;0.05 for all). General anesthesia during cesarean delivery (96% vs. 39%, P=0.002), urinary tract infection (UTI) (12% vs. 3%, P=0.04), low 1-min Apgar score (21% vs. 9%, P=0.04), and nonbreastfeeding (33% vs. 2%, P=0.001) were more frequent in women with MS. The low 1-min Apgar score and breastfeeding rates were independent of general anesthesia and UTI in regression models. Conclusion: MS during pregnancy was not associated with adverse maternal and perinatal outcomes except UTI, low 1-min Apgar scores, and decreased breastfeeding rates.","container-title":"Journal of Perinatal Medicine","DOI":"10.1515/jpm-2016-0060","ISSN":"1619-3997","issue":"4","language":"en","license":"De Gruyter expressly reserves the right to use all content for commercial text and data mining within the meaning of Section 44b of the German Copyright Act.","page":"455-460","publisher":"De Gruyter","source":"www.degruyter.com","title":"Maternal and perinatal outcomes in pregnancies with multiple sclerosis: a case-control study","title-short":"Maternal and perinatal outcomes in pregnancies with multiple sclerosis","volume":"45","author":[{"family":"Yalcin","given":"Serenat Eris"},{"family":"Yalcin","given":"Yakup"},{"family":"Yavuz","given":"And"},{"family":"Akkurt","given":"Mehmet Ozgur"},{"family":"Sezik","given":"Mekin"}],"issued":{"date-parts":[["2017",5,1]]}}}],"schema":"https://github.com/citation-style-language/schema/raw/master/csl-citation.json"} </w:instrText>
      </w:r>
      <w:r w:rsidR="00F77402" w:rsidRPr="008C43FB">
        <w:rPr>
          <w:rFonts w:cstheme="minorHAnsi"/>
          <w:lang w:val="en-US"/>
        </w:rPr>
        <w:fldChar w:fldCharType="separate"/>
      </w:r>
      <w:r w:rsidR="003A626F" w:rsidRPr="008C43FB">
        <w:rPr>
          <w:rFonts w:ascii="Calibri" w:hAnsi="Calibri" w:cs="Calibri"/>
          <w:szCs w:val="24"/>
          <w:lang w:val="en-US"/>
        </w:rPr>
        <w:t>[10–18]</w:t>
      </w:r>
      <w:r w:rsidR="00F77402" w:rsidRPr="008C43FB">
        <w:rPr>
          <w:rFonts w:cstheme="minorHAnsi"/>
          <w:lang w:val="en-US"/>
        </w:rPr>
        <w:fldChar w:fldCharType="end"/>
      </w:r>
      <w:r w:rsidR="00F77402" w:rsidRPr="008C43FB">
        <w:rPr>
          <w:rFonts w:cstheme="minorHAnsi"/>
          <w:lang w:val="en-US"/>
        </w:rPr>
        <w:t xml:space="preserve">. </w:t>
      </w:r>
      <w:r w:rsidR="001C7387" w:rsidRPr="008C43FB">
        <w:rPr>
          <w:rFonts w:cstheme="minorHAnsi"/>
          <w:lang w:val="en-US"/>
        </w:rPr>
        <w:t xml:space="preserve">However, </w:t>
      </w:r>
      <w:r w:rsidR="00555F8B" w:rsidRPr="008C43FB">
        <w:rPr>
          <w:rFonts w:cstheme="minorHAnsi"/>
          <w:lang w:val="en-US"/>
        </w:rPr>
        <w:t xml:space="preserve">the potential impact of </w:t>
      </w:r>
      <w:r w:rsidR="00227A22" w:rsidRPr="008C43FB">
        <w:rPr>
          <w:rFonts w:cstheme="minorHAnsi"/>
          <w:lang w:val="en-US"/>
        </w:rPr>
        <w:t xml:space="preserve">maternal </w:t>
      </w:r>
      <w:r w:rsidR="00555F8B" w:rsidRPr="008C43FB">
        <w:rPr>
          <w:rFonts w:cstheme="minorHAnsi"/>
          <w:lang w:val="en-US"/>
        </w:rPr>
        <w:t xml:space="preserve">MS on the </w:t>
      </w:r>
      <w:r w:rsidR="005E406B" w:rsidRPr="008C43FB">
        <w:rPr>
          <w:rFonts w:cstheme="minorHAnsi"/>
          <w:lang w:val="en-US"/>
        </w:rPr>
        <w:t>risk</w:t>
      </w:r>
      <w:r w:rsidR="00555F8B" w:rsidRPr="008C43FB">
        <w:rPr>
          <w:rFonts w:cstheme="minorHAnsi"/>
          <w:lang w:val="en-US"/>
        </w:rPr>
        <w:t xml:space="preserve"> of specific groups of </w:t>
      </w:r>
      <w:r w:rsidR="00083276" w:rsidRPr="008C43FB">
        <w:rPr>
          <w:rFonts w:cstheme="minorHAnsi"/>
          <w:lang w:val="en-US"/>
        </w:rPr>
        <w:t>CA</w:t>
      </w:r>
      <w:r w:rsidR="00555F8B" w:rsidRPr="008C43FB">
        <w:rPr>
          <w:rFonts w:cstheme="minorHAnsi"/>
          <w:lang w:val="en-US"/>
        </w:rPr>
        <w:t xml:space="preserve"> remains</w:t>
      </w:r>
      <w:r w:rsidR="00DA2AB9" w:rsidRPr="008C43FB">
        <w:rPr>
          <w:rFonts w:cstheme="minorHAnsi"/>
          <w:lang w:val="en-US"/>
        </w:rPr>
        <w:t xml:space="preserve"> largely</w:t>
      </w:r>
      <w:r w:rsidR="00555F8B" w:rsidRPr="008C43FB">
        <w:rPr>
          <w:rFonts w:cstheme="minorHAnsi"/>
          <w:lang w:val="en-US"/>
        </w:rPr>
        <w:t xml:space="preserve"> underexplored.</w:t>
      </w:r>
    </w:p>
    <w:p w14:paraId="57C80832" w14:textId="2ABCFC01" w:rsidR="00CD1AE9" w:rsidRPr="008C43FB" w:rsidRDefault="000A2644" w:rsidP="00CD1AE9">
      <w:pPr>
        <w:spacing w:line="360" w:lineRule="auto"/>
        <w:jc w:val="both"/>
        <w:rPr>
          <w:rFonts w:cstheme="minorHAnsi"/>
          <w:lang w:val="en-US"/>
        </w:rPr>
      </w:pPr>
      <w:r w:rsidRPr="008C43FB">
        <w:rPr>
          <w:lang w:val="en-US"/>
        </w:rPr>
        <w:t xml:space="preserve">Managing DMT exposure during pregnancy requires balancing the risks of treatment to the </w:t>
      </w:r>
      <w:r w:rsidR="00BF51AC" w:rsidRPr="008C43FB">
        <w:rPr>
          <w:lang w:val="en-US"/>
        </w:rPr>
        <w:t>fetus</w:t>
      </w:r>
      <w:r w:rsidRPr="008C43FB">
        <w:rPr>
          <w:lang w:val="en-US"/>
        </w:rPr>
        <w:t xml:space="preserve"> with the risks to the mother associated with discontinuation of treatment </w:t>
      </w:r>
      <w:r w:rsidRPr="008C43FB">
        <w:rPr>
          <w:lang w:val="en-US"/>
        </w:rPr>
        <w:fldChar w:fldCharType="begin"/>
      </w:r>
      <w:r w:rsidR="00890BE5" w:rsidRPr="008C43FB">
        <w:rPr>
          <w:lang w:val="en-US"/>
        </w:rPr>
        <w:instrText xml:space="preserve"> ADDIN ZOTERO_ITEM CSL_CITATION {"citationID":"Pty52LZ1","properties":{"formattedCitation":"[9]","plainCitation":"[9]","noteIndex":0},"citationItems":[{"id":2324,"uris":["http://zotero.org/users/4535351/items/FCKIA4AK"],"itemData":{"id":2324,"type":"article-journal","abstract":"Multiple sclerosis is often diagnosed in patients who are planning on having children. Although multiple sclerosis does not negatively influence most pregnancy outcomes, less is known regarding the effects of fetal exposure to novel disease-modifying therapies (DMTs). The withdrawal of some DMTs during pregnancy can modify the natural history of multiple sclerosis, resulting in a substantial risk of pregnancy-related relapse and disability. Drug labels are typically restrictive and favour fetal safety over maternal safety. Emerging data reporting outcomes in neonates exposed to DMTs in utero and through breastfeeding will allow for more careful and individualised treatment decisions. This emerging research is particularly important to guide decision making in women with high disease activity or who are treated with DMTs associated with risk of discontinuation rebound. As increasing data are generated in this field, periodic updates will be required to provide the most up to date guidance on how best to achieve multiple sclerosis stability during pregnancy and post partum, balanced with fetal and newborn safety.","container-title":"The Lancet. Neurology","DOI":"10.1016/S1474-4422(22)00426-4","ISSN":"1474-4465","issue":"4","journalAbbreviation":"Lancet Neurol","language":"eng","page":"350-366","PMID":"36931808","source":"PubMed","title":"Family planning considerations in people with multiple sclerosis","volume":"22","author":[{"family":"Krysko","given":"Kristen M."},{"family":"Dobson","given":"Ruth"},{"family":"Alroughani","given":"Raed"},{"family":"Amato","given":"Maria Pia"},{"family":"Bove","given":"Riley"},{"family":"Ciplea","given":"Andrea I."},{"family":"Fragoso","given":"Yara"},{"family":"Houtchens","given":"Maria"},{"family":"Jokubaitis","given":"Vilija G."},{"family":"Magyari","given":"Melinda"},{"family":"Abdelnasser","given":"Azza"},{"family":"Padma","given":"Vasantha"},{"family":"Thiel","given":"Sandra"},{"family":"Tintore","given":"Mar"},{"family":"Vukusic","given":"Sandra"},{"family":"Hellwig","given":"Kerstin"}],"issued":{"date-parts":[["2023",4]]}}}],"schema":"https://github.com/citation-style-language/schema/raw/master/csl-citation.json"} </w:instrText>
      </w:r>
      <w:r w:rsidRPr="008C43FB">
        <w:rPr>
          <w:lang w:val="en-US"/>
        </w:rPr>
        <w:fldChar w:fldCharType="separate"/>
      </w:r>
      <w:r w:rsidR="003A626F" w:rsidRPr="008C43FB">
        <w:rPr>
          <w:rFonts w:ascii="Calibri" w:hAnsi="Calibri" w:cs="Calibri"/>
          <w:lang w:val="en-US"/>
        </w:rPr>
        <w:t>[9]</w:t>
      </w:r>
      <w:r w:rsidRPr="008C43FB">
        <w:rPr>
          <w:lang w:val="en-US"/>
        </w:rPr>
        <w:fldChar w:fldCharType="end"/>
      </w:r>
      <w:r w:rsidRPr="008C43FB">
        <w:rPr>
          <w:lang w:val="en-US"/>
        </w:rPr>
        <w:t xml:space="preserve">. </w:t>
      </w:r>
      <w:r w:rsidR="00D33598" w:rsidRPr="008C43FB">
        <w:rPr>
          <w:lang w:val="en-US"/>
        </w:rPr>
        <w:t>To date, few studies</w:t>
      </w:r>
      <w:r w:rsidR="004110B7" w:rsidRPr="008C43FB">
        <w:rPr>
          <w:lang w:val="en-US"/>
        </w:rPr>
        <w:t xml:space="preserve"> have </w:t>
      </w:r>
      <w:r w:rsidR="00881803" w:rsidRPr="008C43FB">
        <w:rPr>
          <w:lang w:val="en-US"/>
        </w:rPr>
        <w:t xml:space="preserve">sufficient data to </w:t>
      </w:r>
      <w:r w:rsidR="004110B7" w:rsidRPr="008C43FB">
        <w:rPr>
          <w:lang w:val="en-US"/>
        </w:rPr>
        <w:t>e</w:t>
      </w:r>
      <w:r w:rsidR="00CA0BC5" w:rsidRPr="008C43FB">
        <w:rPr>
          <w:lang w:val="en-US"/>
        </w:rPr>
        <w:t>valuate</w:t>
      </w:r>
      <w:r w:rsidR="004110B7" w:rsidRPr="008C43FB">
        <w:rPr>
          <w:lang w:val="en-US"/>
        </w:rPr>
        <w:t xml:space="preserve"> </w:t>
      </w:r>
      <w:r w:rsidR="00531C67" w:rsidRPr="008C43FB">
        <w:rPr>
          <w:lang w:val="en-US"/>
        </w:rPr>
        <w:t>the</w:t>
      </w:r>
      <w:r w:rsidR="00881803" w:rsidRPr="008C43FB">
        <w:rPr>
          <w:lang w:val="en-US"/>
        </w:rPr>
        <w:t xml:space="preserve"> risk</w:t>
      </w:r>
      <w:r w:rsidR="00531C67" w:rsidRPr="008C43FB">
        <w:rPr>
          <w:lang w:val="en-US"/>
        </w:rPr>
        <w:t xml:space="preserve"> of specific </w:t>
      </w:r>
      <w:r w:rsidR="00BC3751" w:rsidRPr="008C43FB">
        <w:rPr>
          <w:lang w:val="en-US"/>
        </w:rPr>
        <w:t>CA</w:t>
      </w:r>
      <w:r w:rsidR="00CA0BC5" w:rsidRPr="008C43FB">
        <w:rPr>
          <w:lang w:val="en-US"/>
        </w:rPr>
        <w:t xml:space="preserve"> and</w:t>
      </w:r>
      <w:r w:rsidR="00881803" w:rsidRPr="008C43FB">
        <w:rPr>
          <w:lang w:val="en-US"/>
        </w:rPr>
        <w:t xml:space="preserve"> DMT in pregnancy.</w:t>
      </w:r>
      <w:r w:rsidR="00531C67" w:rsidRPr="008C43FB">
        <w:rPr>
          <w:rFonts w:cstheme="minorHAnsi"/>
          <w:lang w:val="en-US"/>
        </w:rPr>
        <w:t xml:space="preserve"> </w:t>
      </w:r>
      <w:r w:rsidR="00190057" w:rsidRPr="008C43FB">
        <w:rPr>
          <w:rFonts w:cstheme="minorHAnsi"/>
          <w:lang w:val="en-US"/>
        </w:rPr>
        <w:t>Despite this, for the sake of good patient care</w:t>
      </w:r>
      <w:r w:rsidR="00531C67" w:rsidRPr="008C43FB">
        <w:rPr>
          <w:rFonts w:cstheme="minorHAnsi"/>
          <w:lang w:val="en-US"/>
        </w:rPr>
        <w:t>, c</w:t>
      </w:r>
      <w:r w:rsidRPr="008C43FB">
        <w:rPr>
          <w:rFonts w:cstheme="minorHAnsi"/>
          <w:lang w:val="en-US"/>
        </w:rPr>
        <w:t>ommonly used DMTs for MS management, such as glatiramer acetate and interferon beta-1a</w:t>
      </w:r>
      <w:r w:rsidR="00190057" w:rsidRPr="008C43FB">
        <w:rPr>
          <w:rFonts w:cstheme="minorHAnsi"/>
          <w:lang w:val="en-US"/>
        </w:rPr>
        <w:t xml:space="preserve"> whic</w:t>
      </w:r>
      <w:r w:rsidR="00F90638" w:rsidRPr="008C43FB">
        <w:rPr>
          <w:rFonts w:cstheme="minorHAnsi"/>
          <w:lang w:val="en-US"/>
        </w:rPr>
        <w:t>h</w:t>
      </w:r>
      <w:r w:rsidR="00BC3751" w:rsidRPr="008C43FB">
        <w:rPr>
          <w:rFonts w:cstheme="minorHAnsi"/>
          <w:lang w:val="en-US"/>
        </w:rPr>
        <w:t xml:space="preserve"> </w:t>
      </w:r>
      <w:r w:rsidR="00990F15" w:rsidRPr="008C43FB">
        <w:rPr>
          <w:rFonts w:cstheme="minorHAnsi"/>
          <w:lang w:val="en-US"/>
        </w:rPr>
        <w:t xml:space="preserve">do not cross the </w:t>
      </w:r>
      <w:r w:rsidR="00190057" w:rsidRPr="008C43FB">
        <w:rPr>
          <w:rFonts w:cstheme="minorHAnsi"/>
          <w:lang w:val="en-US"/>
        </w:rPr>
        <w:t>placenta,</w:t>
      </w:r>
      <w:r w:rsidR="00990F15" w:rsidRPr="008C43FB">
        <w:rPr>
          <w:rFonts w:cstheme="minorHAnsi"/>
          <w:lang w:val="en-US"/>
        </w:rPr>
        <w:t xml:space="preserve"> </w:t>
      </w:r>
      <w:r w:rsidR="007F581B" w:rsidRPr="008C43FB">
        <w:rPr>
          <w:rFonts w:cstheme="minorHAnsi"/>
          <w:lang w:val="en-US"/>
        </w:rPr>
        <w:t xml:space="preserve">have been </w:t>
      </w:r>
      <w:r w:rsidRPr="008C43FB">
        <w:rPr>
          <w:rFonts w:cstheme="minorHAnsi"/>
          <w:lang w:val="en-US"/>
        </w:rPr>
        <w:t xml:space="preserve">considered relatively safe during pregnancy </w:t>
      </w:r>
      <w:r w:rsidRPr="008C43FB">
        <w:rPr>
          <w:lang w:val="en-US"/>
        </w:rPr>
        <w:fldChar w:fldCharType="begin"/>
      </w:r>
      <w:r w:rsidR="00890BE5" w:rsidRPr="008C43FB">
        <w:rPr>
          <w:lang w:val="en-US"/>
        </w:rPr>
        <w:instrText xml:space="preserve"> ADDIN ZOTERO_ITEM CSL_CITATION {"citationID":"VJKdx9et","properties":{"formattedCitation":"[1,3,8,9,19\\uc0\\u8211{}25]","plainCitation":"[1,3,8,9,19–25]","noteIndex":0},"citationItems":[{"id":2723,"uris":["http://zotero.org/users/4535351/items/MAGHGFRE"],"itemData":{"id":2723,"type":"article-journal","abstract":"Multiple sclerosis (MS) is usually diagnosed between twenty and forty years of age, when people often plan to have children. A lot has been said about the effect of pregnancy on the course of MS. The individual factors responsible for the disease modifying effect of pregnancy are not well determined. Having MS neither affects the fertility or the course of pregnancy itself. During pregnancy, many women find that their symptoms stay the same or even improve. Epidural and spinal analgesia appear to be safe and in general are not contraindicated for patients with MS. The management of disease-modifying treatments (DMTs) in pregnancy is a new issue for consideration in the clinical practice. There is limited information available into the safety of DMT use during pregnancy, especially for the most recent ones. In general, discontinuation of DMTs is recommended before conception to minimize risk of fetal harm. Women with very active MS before pregnancy who stop second-line treatments may show an increase in disease activity during pregnancy. Therefore, it might be discussed to maintain patients on DMTs until pregnancy is confirmed, and sometimes throughout pregnancy, to avoid a rebound of disease activity and severe relapses during pregnancy in very active patients.","container-title":"Revue Neurologique","DOI":"10.1016/j.neurol.2020.05.005","ISSN":"0035-3787","issue":"3","journalAbbreviation":"Revue Neurologique","page":"180-194","source":"ScienceDirect","title":"Pregnancy with multiple sclerosis","volume":"177","author":[{"family":"Vukusic","given":"S."},{"family":"Michel","given":"L."},{"family":"Leguy","given":"S."},{"family":"Lebrun-Frenay","given":"C."}],"issued":{"date-parts":[["2021",3,1]]}}},{"id":2069,"uris":["http://zotero.org/users/4535351/items/4ICTV23N"],"itemData":{"id":2069,"type":"article-journal","abstract":"OBJECTIVE: The objective of this study was to develop evidence-based recommendations on pregnancy management for persons with multiple sclerosis (MS).\nBACKGROUND: MS typically affects young women in their childbearing years. Increasing evidence is available to inform questions raised by MS patients and health professionals about pregnancy issues.\nMETHODS: The French Group for Recommendations in Multiple Sclerosis (France4MS) reviewed PubMed and university databases (January 1975 through June 2021). The RAND/UCLA appropriateness method was developed to synthesise the scientific literature and expert opinions on healthcare topics; it was used to reach a formal agreement. Fifty-six MS experts worked on the full-text review and initial wording of recommendations. A group of 62 multidisciplinary healthcare specialists validated the final proposal of summarised evidence.\nRESULTS: A strong agreement was reached for all 104 proposed recommendations. They cover diverse topics, such as pregnancy planning, follow-up during pregnancy and postpartum, delivery routes, locoregional analgesia or anaesthesia, prevention of postpartum relapses, breastfeeding, vaccinations, reproductive assistance, management of relapses and disease-modifying treatments.\nCONCLUSION: The 2022 recommendations of the French MS society should be helpful to harmonise counselling and treatment practice for pregnancy in persons with MS, allowing for better and individualised choices.","container-title":"Multiple Sclerosis (Houndmills, Basingstoke, England)","DOI":"10.1177/13524585221129472","ISSN":"1477-0970","journalAbbreviation":"Mult Scler","language":"eng","page":"13524585221129472","PMID":"36317497","source":"PubMed","title":"Pregnancy and multiple sclerosis: 2022 recommendations from the French multiple sclerosis society","title-short":"Pregnancy and multiple sclerosis","author":[{"family":"Vukusic","given":"Sandra"},{"family":"Carra-Dalliere","given":"Clarisse"},{"family":"Ciron","given":"Jonathan"},{"family":"Maillart","given":"Elisabeth"},{"family":"Michel","given":"Laure"},{"family":"Leray","given":"Emmanuelle"},{"family":"Guennoc","given":"Anne-Marie"},{"family":"Bourre","given":"Bertrand"},{"family":"Laplaud","given":"David"},{"family":"Androdias","given":"Géraldine"},{"family":"Bensa","given":"Caroline"},{"family":"Bigaut","given":"Kevin"},{"family":"Biotti","given":"Damien"},{"family":"Branger","given":"Pierre"},{"family":"Casez","given":"Olivier"},{"family":"Cohen","given":"Mikael"},{"family":"Daval","given":"Elodie"},{"family":"Deschamps","given":"Romain"},{"family":"Donze","given":"Cécile"},{"family":"Dubessy","given":"Anne-Laure"},{"family":"Dulau","given":"Cécile"},{"family":"Durand-Dubief","given":"Françoise"},{"family":"Guillaume","given":"Maxime"},{"family":"Hebant","given":"Benjamin"},{"family":"Kremer","given":"Laurent"},{"family":"Kwiatkowski","given":"Arnaud"},{"family":"Lannoy","given":"Julien"},{"family":"Maarouf","given":"Adil"},{"family":"Manchon","given":"Eric"},{"family":"Mathey","given":"Guillaume"},{"family":"Moisset","given":"Xavier"},{"family":"Montcuquet","given":"Alexis"},{"family":"Pique","given":"Julie"},{"family":"Roux","given":"Thomas"},{"family":"Marignier","given":"Romain"},{"family":"Lebrun-Frenay","given":"Christine"}],"issued":{"date-parts":[["2022",11,1]]}}},{"id":2324,"uris":["http://zotero.org/users/4535351/items/FCKIA4AK"],"itemData":{"id":2324,"type":"article-journal","abstract":"Multiple sclerosis is often diagnosed in patients who are planning on having children. Although multiple sclerosis does not negatively influence most pregnancy outcomes, less is known regarding the effects of fetal exposure to novel disease-modifying therapies (DMTs). The withdrawal of some DMTs during pregnancy can modify the natural history of multiple sclerosis, resulting in a substantial risk of pregnancy-related relapse and disability. Drug labels are typically restrictive and favour fetal safety over maternal safety. Emerging data reporting outcomes in neonates exposed to DMTs in utero and through breastfeeding will allow for more careful and individualised treatment decisions. This emerging research is particularly important to guide decision making in women with high disease activity or who are treated with DMTs associated with risk of discontinuation rebound. As increasing data are generated in this field, periodic updates will be required to provide the most up to date guidance on how best to achieve multiple sclerosis stability during pregnancy and post partum, balanced with fetal and newborn safety.","container-title":"The Lancet. Neurology","DOI":"10.1016/S1474-4422(22)00426-4","ISSN":"1474-4465","issue":"4","journalAbbreviation":"Lancet Neurol","language":"eng","page":"350-366","PMID":"36931808","source":"PubMed","title":"Family planning considerations in people with multiple sclerosis","volume":"22","author":[{"family":"Krysko","given":"Kristen M."},{"family":"Dobson","given":"Ruth"},{"family":"Alroughani","given":"Raed"},{"family":"Amato","given":"Maria Pia"},{"family":"Bove","given":"Riley"},{"family":"Ciplea","given":"Andrea I."},{"family":"Fragoso","given":"Yara"},{"family":"Houtchens","given":"Maria"},{"family":"Jokubaitis","given":"Vilija G."},{"family":"Magyari","given":"Melinda"},{"family":"Abdelnasser","given":"Azza"},{"family":"Padma","given":"Vasantha"},{"family":"Thiel","given":"Sandra"},{"family":"Tintore","given":"Mar"},{"family":"Vukusic","given":"Sandra"},{"family":"Hellwig","given":"Kerstin"}],"issued":{"date-parts":[["2023",4]]}}},{"id":2721,"uris":["http://zotero.org/users/4535351/items/TFUZKUG8"],"itemData":{"id":2721,"type":"article-journal","abstract":"With evolving diagnostic criteria and the advent of new oral and parenteral therapies for Multiple Sclerosis (MS), most current diagnostic and treatment algorithms need revision and updating. The diagnosis of MS relies on incorporating clinical and paraclinical findings to prove dissemination in space and time and exclude alternative diseases that can explain the findings at hand. The differential diagnostic workup should be guided by clinical and laboratory red flags to avoid unnecessary tests. Appropriate selection of MS therapies is critical to maximize patient benefit. The current guidelines review the current diagnostic criteria for MS and the scientific evidence supporting treatment of acute relapses, radiologically isolated syndrome, clinically isolated syndrome, relapsing remitting MS, progressive MS, pediatric cases and pregnant women. The purpose of these guidelines is to provide practical recommendations and algorithms for the diagnosis and treatment of MS based on current scientific evidence and clinical experience.","container-title":"Multiple Sclerosis and Related Disorders","DOI":"10.1016/j.msard.2024.105435","ISSN":"2211-0348","journalAbbreviation":"Multiple Sclerosis and Related Disorders","page":"105435","source":"ScienceDirect","title":"Consensus recommendations for diagnosis and treatment of Multiple Sclerosis: 2023 revision of the MENACTRIMS guidelines","title-short":"Consensus recommendations for diagnosis and treatment of Multiple Sclerosis","volume":"83","author":[{"family":"Yamout","given":"B."},{"family":"Al-Jumah","given":"M."},{"family":"Sahraian","given":"M. A."},{"family":"Almalik","given":"Y"},{"family":"Khaburi","given":"J. Al"},{"family":"Shalaby","given":"N."},{"family":"Aljarallah","given":"S"},{"family":"Bohlega","given":"S."},{"family":"Dahdaleh","given":"M."},{"family":"Almahdawi","given":"A."},{"family":"Khoury","given":"S. J."},{"family":"Koussa","given":"S."},{"family":"Slassi","given":"E."},{"family":"Daoudi","given":"S"},{"family":"Aref","given":"H."},{"family":"Mrabet","given":"S."},{"family":"Zeineddine","given":"M."},{"family":"Zakaria","given":"M."},{"family":"Inshasi","given":"J."},{"family":"Gouider","given":"R."},{"family":"Alroughani","given":"R."}],"issued":{"date-parts":[["2024",3,1]]}}},{"id":2200,"uris":["http://zotero.org/users/4535351/items/UZHRRVRN"],"itemData":{"id":2200,"type":"article-journal","abstract":"BACKGROUND: Only few studies have assessed safety of in utero exposure to glatiramer acetate (GA). Following a previous study assessing the safety of interferon beta (IFNB) pregnancy exposure in multiple sclerosis (MS), we aimed to assess pregnancy and fetal outcomes after in utero exposure to GA, using the same dataset, with a specific focus on the risk of spontaneous abortion.\nMATERIALS AND METHODS: We recruited MS patients, prospectively followed-up in 21 Italian MS Centres, for whom a pregnancy was recorded in the period 2002-2008. Patients were divided into 2 groups: drug-exposed pregnancies (EP: suspension of the drug less than 4 weeks from conception); non-exposed pregnancies (NEP: suspension of the drug at least 4 weeks from conception or never treated pregnancies). All the patients were administered a structured interview which gathered detailed information on pregnancy course and outcomes, as well as on possible confounders. Multivariate logistic and linear models were used for treatment comparisons.\nRESULTS: Data on 423 pregnancies were collected, 17 were classified as EP to GA, 88 as EP to IFNB, 318 as NEP. Pregnancies resulted in 16 live births in the GA EP, 75 live births in the IFNB EP, 295 live births in the NEP. GA exposure was not significantly associated with an increased risk of spontaneous abortion (OR = 0.44;95% CI 0.044-4.51;p = 0.49). Mean birth weight and length were not significantly different in pregnancies exposed to GA than in non exposed pregnancies (p = 0.751). The frequency of preterm delivery, observed in 4 subjects exposed to GA (25% of full term deliveries), was not significantly higher in pregnancies exposed to GA than in those non exposed (p &gt; 0.735). These findings were confirmed in the multivariate analysis. There were neither major complications nor malformations after GA exposure.\nCONCLUSIONS: Data in our cohort show that mother's GA exposure is not associated with a higher frequency of spontaneous abortion, neither other negative pregnancy and fetal outcomes. Our findings point to the safety of in utero GA exposure and can support neurologists in the therapeutic counselling of MS women planning a pregnancy.","container-title":"BMC neurology","DOI":"10.1186/1471-2377-12-124","ISSN":"1471-2377","journalAbbreviation":"BMC Neurol","language":"eng","page":"124","PMID":"23088447","PMCID":"PMC3487812","source":"PubMed","title":"Pregnancy and fetal outcomes after Glatiramer Acetate exposure in patients with multiple sclerosis: a prospective observational multicentric study","title-short":"Pregnancy and fetal outcomes after Glatiramer Acetate exposure in patients with multiple sclerosis","volume":"12","author":[{"family":"Giannini","given":"Marta"},{"family":"Portaccio","given":"Emilio"},{"family":"Ghezzi","given":"Angelo"},{"family":"Hakiki","given":"Bahia"},{"family":"Pastò","given":"Luisa"},{"family":"Razzolini","given":"Lorenzo"},{"family":"Piscolla","given":"Elisa"},{"family":"De Giglio","given":"Laura"},{"family":"Pozzilli","given":"Carlo"},{"family":"Paolicelli","given":"Damiano"},{"family":"Trojano","given":"Maria"},{"family":"Marrosu","given":"Maria Giovanna"},{"family":"Patti","given":"Francesco"},{"family":"La Mantia","given":"Loredana"},{"family":"Mancardi","given":"Gianluigi"},{"family":"Solaro","given":"Claudio"},{"family":"Totaro","given":"Rocco"},{"family":"Tola","given":"Maria Rosaria"},{"family":"De Luca","given":"Giovanna"},{"family":"Lugaresi","given":"Alessandra"},{"family":"Moiola","given":"Lucia"},{"family":"Martinelli","given":"Vittorio"},{"family":"Comi","given":"Giancarlo"},{"family":"Amato","given":"Maria Pia"}],"issued":{"date-parts":[["2012",10,22]]}}},{"id":2164,"uris":["http://zotero.org/users/4535351/items/NWB49L3A"],"itemData":{"id":2164,"type":"article-journal","abstract":"BACKGROUND: Appropriate counseling and treatment for women with multiple sclerosis (MS) who may become pregnant requires an understanding of the effects of exposure to disease-modifying therapies (DMTs) during pregnancy. Current reports and studies are limited in their usefulness, mostly by small sample size. Branded glatiramer acetate (GA) is a DMT approved for the treatment of relapsing forms of MS. For more than 2 decades, it has been shown to be efficacious and to have a favorable safety profile. The Teva Pharmaceutical Industries Ltd global pharmacovigilance database comprises data from more than 7000 pregnancies, during which women with MS were exposed to treatment with branded GA.\nMETHODS: We analyzed data from Teva's global pharmacovigilance database. Pregnancy outcomes for patients treated with branded GA were compared with reference rates of abnormal pregnancy outcomes reported in two large registries representing the general population.\nRESULTS: Pregnancies exposed to branded GA were not at higher risk for congenital anomalies than what is expected in the general population.\nCONCLUSIONS: These data provide evidence that branded GA exposure during pregnancy seems safe, without teratogenic effect.","container-title":"International journal of MS care","DOI":"10.7224/1537-2073.2016-079","ISSN":"1537-2073","issue":"1","journalAbbreviation":"Int J MS Care","language":"eng","page":"9-14","PMID":"29507538","PMCID":"PMC5825987","source":"PubMed","title":"Pregnancy Outcomes from the Branded Glatiramer Acetate Pregnancy Database","volume":"20","author":[{"family":"Sandberg-Wollheim","given":"Magnhild"},{"family":"Neudorfer","given":"Orit"},{"family":"Grinspan","given":"Augusto"},{"family":"Weinstock-Guttman","given":"Bianca"},{"family":"Haas","given":"Judith"},{"family":"Izquierdo","given":"Guillermo"},{"family":"Riley","given":"Claire"},{"family":"Ross","given":"Amy Perrin"},{"family":"Baruch","given":"Peleg"},{"family":"Drillman","given":"Talya"},{"family":"Coyle","given":"Patricia K."}],"issued":{"date-parts":[["2018"]]}}},{"id":2122,"uris":["http://zotero.org/users/4535351/items/WPKE2CVH"],"itemData":{"id":2122,"type":"article-journal","abstract":"BACKGROUND: Our aim was to estimate and compare the prevalence of adverse pregnancy outcomes among pregnant women with multiple sclerosis (MS) exposed to interferon beta (IFNB) and among women with MS unexposed to any MS disease-modifying drug (MSDMD).\nMETHODS: This cohort study used Finnish (1996-2014) and Swedish (2005-2014) national register data. Women with MS having IFNB dispensed 6 months before or during pregnancy as the only medication were considered as IFNB exposed (only IFNB-exposed), whereas women with MS unexposed to any MSDMD were considered unexposed (MSDMD-unexposed). Prevalence was described and compared using log-binomial or logistic regression and adjusted for potential confounders including maternal age and comorbidity.\nRESULTS: Among 2831 pregnancies, 2.2% of the only IFNB-exposed and 4.0% of the MSDMD-unexposed women had serious adverse pregnancy outcomes [elective termination of pregnancy due to foetal anomaly (TOPFA), major congenital anomaly (MCA) in live, or stillbirth]. After adjustments, the prevalence of serious adverse pregnancy outcomes was lower among the only IFNB-exposed compared with the MSDMD-unexposed [relative risk 0.55, 95% confidence interval (CI) 0.31-0.96]. The prevalence of individual outcomes, including MCA, spontaneous abortions, and stillbirths was not increased with IFNB exposure. Women with MS exposed to IFNB appeared more likely to terminate their pregnancy for reasons other than foetal anomaly, compared with MSDMD-unexposed pregnant MS patients (odds ratio 1.71, 95% CI 1.06-2.78).\nCONCLUSION: In this large cohort study, no increase in the prevalence of adverse pregnancy outcomes was observed in women with MS exposed to IFNB compared with MS patients unexposed to any MSDMDs. This study together with other evidence led to a change in the labels of the IFNB products in September 2019 in the European Union, and IFNB use today may be considered during pregnancy, if clinically needed.","container-title":"Therapeutic Advances in Neurological Disorders","DOI":"10.1177/1756286420951072","ISSN":"1756-2856","journalAbbreviation":"Ther Adv Neurol Disord","language":"eng","page":"1756286420951072","PMID":"33101459","PMCID":"PMC7549181","source":"PubMed","title":"Pregnancy outcomes after exposure to interferon beta: a register-based cohort study among women with MS in Finland and Sweden","title-short":"Pregnancy outcomes after exposure to interferon beta","volume":"13","author":[{"family":"Hakkarainen","given":"Katja Marja"},{"family":"Juuti","given":"Rosa"},{"family":"Burkill","given":"Sarah"},{"family":"Geissbühler","given":"Yvonne"},{"family":"Sabidó","given":"Meritxell"},{"family":"Popescu","given":"Catrinel"},{"family":"Suzart-Woischnik","given":"Kiliana"},{"family":"Hillert","given":"Jan"},{"family":"Artama","given":"Miia"},{"family":"Verkkoniemi-Ahola","given":"Auli"},{"family":"Myhr","given":"Kjell-Morten"},{"family":"Mehtälä","given":"Juha"},{"family":"Bahmanyar","given":"Shahram"},{"family":"Montgomery","given":"Scott"},{"family":"Korhonen","given":"Pasi"}],"issued":{"date-parts":[["2020"]]}}},{"id":2228,"uris":["http://zotero.org/users/4535351/items/9GHC3CXW"],"itemData":{"id":2228,"type":"article-journal","abstract":"OBJECTIVE: The objective of this study was to evaluate exposure to disease-modifying therapies (DMTs) during pregnancy in 335 pregnancies of multiple sclerosis (MS) patients and to further determine whether exclusive breastfeeding of MS mothers has any relevant influence on postpartum relapse rate.\nBACKGROUND: Only limited data are available on whether DMT exposure during pregnancy affects relapse rate during pregnancy or after birth. Currently, findings on beneficial effect of exclusive breastfeeding on MS disease course are controversially discussed.\nMETHODS: We enrolled pregnant women with MS who contacted us directly or via their treating physicians to be included in our nationwide MS and pregnancy database.\nRESULTS: We identified 78 pregnancies under interferon-beta (IFNβ) preparations, 41 under glatiramer acetate (GLAT), and 216 pregnancies without DMT exposure during pregnancy. As expected, annualized relapse rate (ARR) decreased continuously during pregnancy in nonexposed mothers (p &lt; 0.001) to then increase after birth. In IFNβ- or GLAT-exposed women this typical pattern was not as obvious. Congenital anomalies were within normal ranges in exposed pregnancies. In total, 170 women were identified who exclusively breastfed (EBF). Significantly reduced postpartum relapse rate during the first 3 months after birth were registered in the EBF group as compared with nonexclusively breastfeeding (NEBF) or nonbreastfeeding women (NBF) women with MS (p &lt; 0.0001). Relapse rate (RR) in the year before pregnancy had been similar throughout all groups. We did not observe any significant differences in RR of NEBF and NBF women.\nCONCLUSION: Exclusive breastfeeding showed some beneficial effects on postpartum relapse rate in our cohort. Our data support that IFNβ and GLAT do not seem to represent a major teratogenic risk in pregnancy.","container-title":"Therapeutic Advances in Neurological Disorders","DOI":"10.1177/1756285612453192","ISSN":"1756-2864","issue":"5","journalAbbreviation":"Ther Adv Neurol Disord","language":"eng","page":"247-253","PMID":"22973421","PMCID":"PMC3437527","source":"PubMed","title":"Multiple sclerosis and pregnancy: experience from a nationwide database in Germany","title-short":"Multiple sclerosis and pregnancy","volume":"5","author":[{"family":"Hellwig","given":"Kerstin"},{"family":"Haghikia","given":"Aiden"},{"family":"Rockhoff","given":"Milena"},{"family":"Gold","given":"Ralf"}],"issued":{"date-parts":[["2012",9]]}}},{"id":2195,"uris":["http://zotero.org/users/4535351/items/AF9STJQI"],"itemData":{"id":2195,"type":"article-journal","abstract":"BACKGROUND: Women with multiple sclerosis (MS) are advised to discontinue interferon-beta therapy before trying to conceive. Unplanned pregnancies occur and risks related to exposure remain unclear.\nMETHODS: To determine pregnancy outcomes following interferon-beta therapy, we examined pregnancies from a global drug safety database containing individual case safety reports received in the post-marketing setting and safety data from clinical trials of subcutaneous interferon beta-1a in MS.\nRESULTS: One thousand and twenty-two cases of exposure to subcutaneous interferon beta-1a during pregnancy were retrieved; 679 had a documented outcome. In cases for which exposure duration was available (n  = 231), mean time of foetal exposure to subcutaneous interferon beta-1a before treatment discontinuation was 28 days; most pregnancies (199/231; 86.1%) were exposed for ≤ 45 days. To avoid bias, only outcomes for prospective data (n  = 425) in pregnancies exposed to interferon beta-1a in utero were analysed further. Of these, 324 (76.2%) resulted in normal live births and four (0.9%) in live births with congenital anomalies (3 [0.7%] were 'major'). Four (0.9%) pregnancies resulted in stillbirths (1 [0.2%] with foetal defects). There were 5 (1.2%) ectopic pregnancies, 49 (11.5%) spontaneous abortions and 39 (9.2%) elective terminations. Most pregnancies exposed to subcutaneous interferon beta-1a in utero were associated with normal live births. The rates of spontaneous abortion and major congenital anomalies in live births were in line with those observed in the general population.\nCONCLUSIONS: These data should be taken into account when considering options for women with MS who become pregnant or who are planning pregnancy while on treatment with subcutaneous interferon beta-1a.","container-title":"Multiple Sclerosis (Houndmills, Basingstoke, England)","DOI":"10.1177/1352458510394610","ISSN":"1477-0970","issue":"4","journalAbbreviation":"Mult Scler","language":"eng","page":"423-430","PMID":"21220368","source":"PubMed","title":"Pregnancy outcomes in multiple sclerosis following subcutaneous interferon beta-1a therapy","volume":"17","author":[{"family":"Sandberg-Wollheim","given":"Magnhild"},{"family":"Alteri","given":"Enrica"},{"family":"Moraga","given":"Margaretha Stam"},{"family":"Kornmann","given":"Gabrielle"}],"issued":{"date-parts":[["2011",4]]}}},{"id":2616,"uris":["http://zotero.org/users/4535351/items/2VANX9ZD"],"itemData":{"id":2616,"type":"article-journal","abstract":"BackgroundThere is still uncertainty about the management of pregnant women exposed to immunomodulatory therapy for treatment of multiple sclerosis (MS) in pregnancy.ObjectiveTo assess the safety of interferon (IFN)-β1a, IFN-β1b, and glatiramer acetate (GA) for treatment of MS during pregnancy.MethodsA prospective observational cohort study was performed with patients enrolled through a drug risk assessment by the Teratology Information Service (TIS), Berlin, from 1996 to 2007. Pregnancy outcomes for four groups of women were compared: two exposed groups (IFN, n = 69; GA, n = 31), MS patients without exposure to IFN or GA (n = 64) and a healthy comparative group (n = 1556).ResultsSpontaneous abortion rates were in normal range for all groups except the small subgroup of IFN-β1b exposed (n = 21), where 28% aborted spontaneously. There were two major birth defects in the GA group (club feet and atrioventricular canal) and none in the IFN cohort. Preterm delivery was not significantly different between exposed cohorts and healthy controls. The adjusted mean birth weight was in normal range in all groups (&gt;3200 g), but newborns exposed to IFN had a significantly lower birth weight.ConclusionOur findings suggest that neither GA nor IFN constitutes a major risk for prenatal developmental toxicity.","container-title":"Multiple Sclerosis Journal","DOI":"10.1177/1352458509106543","ISSN":"1352-4585","issue":"9","journalAbbreviation":"Mult Scler","language":"en","page":"1037-1042","publisher":"SAGE Publications Ltd STM","source":"SAGE Journals","title":"Multiple sclerosis, immunomodulators, and pregnancy outcome: a prospective observational study","title-short":"Multiple sclerosis, immunomodulators, and pregnancy outcome","volume":"15","author":[{"family":"Weber-Schoendorfer","given":"C"},{"family":"Schaefer","given":"C"}],"issued":{"date-parts":[["2009",9,1]]}}},{"id":2735,"uris":["http://zotero.org/users/4535351/items/C4MQENPZ"],"itemData":{"id":2735,"type":"article-journal","container-title":"The Lancet Regional Health – Europe","DOI":"10.1016/j.lanepe.2024.101137","ISSN":"2666-7762","journalAbbreviation":"The Lancet Regional Health – Europe","language":"English","publisher":"Elsevier","source":"www.thelancet.com","title":"Impact of disease-modifying therapies on pregnancy outcomes in multiple sclerosis: a prospective cohort study from the German multiple sclerosis and pregnancy registry","title-short":"Impact of disease-modifying therapies on pregnancy outcomes in multiple sclerosis","URL":"https://www.thelancet.com/journals/lanepe/article/PIIS2666-7762(24)00306-5/fulltext","volume":"48","author":[{"family":"Bast","given":"Nadine"},{"family":"Dost-Kovalsky","given":"Karen"},{"family":"Haben","given":"Sabrina"},{"family":"Friedmann","given":"Natalia"},{"family":"Witt","given":"Laura"},{"family":"Oganowski","given":"Theresa"},{"family":"Gold","given":"Ralf"},{"family":"Thiel","given":"Sandra"},{"family":"Hellwig","given":"Kerstin"}],"accessed":{"date-parts":[["2025",1,7]]},"issued":{"date-parts":[["2025",1,1]]}}}],"schema":"https://github.com/citation-style-language/schema/raw/master/csl-citation.json"} </w:instrText>
      </w:r>
      <w:r w:rsidRPr="008C43FB">
        <w:rPr>
          <w:lang w:val="en-US"/>
        </w:rPr>
        <w:fldChar w:fldCharType="separate"/>
      </w:r>
      <w:r w:rsidR="003A626F" w:rsidRPr="008C43FB">
        <w:rPr>
          <w:rFonts w:ascii="Calibri" w:hAnsi="Calibri" w:cs="Calibri"/>
          <w:szCs w:val="24"/>
          <w:lang w:val="en-US"/>
        </w:rPr>
        <w:t>[1,3,8,9,19–25]</w:t>
      </w:r>
      <w:r w:rsidRPr="008C43FB">
        <w:rPr>
          <w:lang w:val="en-US"/>
        </w:rPr>
        <w:fldChar w:fldCharType="end"/>
      </w:r>
      <w:r w:rsidR="00F90638" w:rsidRPr="008C43FB">
        <w:rPr>
          <w:rFonts w:cstheme="minorHAnsi"/>
          <w:lang w:val="en-US"/>
        </w:rPr>
        <w:t xml:space="preserve">; </w:t>
      </w:r>
      <w:r w:rsidR="00F90638" w:rsidRPr="008C43FB">
        <w:rPr>
          <w:lang w:val="en-US"/>
        </w:rPr>
        <w:t>t</w:t>
      </w:r>
      <w:r w:rsidRPr="008C43FB">
        <w:rPr>
          <w:lang w:val="en-US"/>
        </w:rPr>
        <w:t xml:space="preserve">hese treatments are often </w:t>
      </w:r>
      <w:r w:rsidRPr="008C43FB">
        <w:rPr>
          <w:rStyle w:val="lev"/>
          <w:b w:val="0"/>
          <w:lang w:val="en-US"/>
        </w:rPr>
        <w:t>continued until pregnancy is confirmed</w:t>
      </w:r>
      <w:r w:rsidRPr="008C43FB">
        <w:rPr>
          <w:lang w:val="en-US"/>
        </w:rPr>
        <w:t xml:space="preserve"> to limit disease activity and, if needed, </w:t>
      </w:r>
      <w:r w:rsidR="00531C67" w:rsidRPr="008C43FB">
        <w:rPr>
          <w:lang w:val="en-US"/>
        </w:rPr>
        <w:t xml:space="preserve">are </w:t>
      </w:r>
      <w:r w:rsidRPr="008C43FB">
        <w:rPr>
          <w:lang w:val="en-US"/>
        </w:rPr>
        <w:t xml:space="preserve"> maintained throughout pregnancy for women with high disease activity </w:t>
      </w:r>
      <w:r w:rsidRPr="008C43FB">
        <w:rPr>
          <w:lang w:val="en-US"/>
        </w:rPr>
        <w:fldChar w:fldCharType="begin"/>
      </w:r>
      <w:r w:rsidR="00890BE5" w:rsidRPr="008C43FB">
        <w:rPr>
          <w:lang w:val="en-US"/>
        </w:rPr>
        <w:instrText xml:space="preserve"> ADDIN ZOTERO_ITEM CSL_CITATION {"citationID":"mF9V0jNW","properties":{"formattedCitation":"[1,3,8,9]","plainCitation":"[1,3,8,9]","noteIndex":0},"citationItems":[{"id":2069,"uris":["http://zotero.org/users/4535351/items/4ICTV23N"],"itemData":{"id":2069,"type":"article-journal","abstract":"OBJECTIVE: The objective of this study was to develop evidence-based recommendations on pregnancy management for persons with multiple sclerosis (MS).\nBACKGROUND: MS typically affects young women in their childbearing years. Increasing evidence is available to inform questions raised by MS patients and health professionals about pregnancy issues.\nMETHODS: The French Group for Recommendations in Multiple Sclerosis (France4MS) reviewed PubMed and university databases (January 1975 through June 2021). The RAND/UCLA appropriateness method was developed to synthesise the scientific literature and expert opinions on healthcare topics; it was used to reach a formal agreement. Fifty-six MS experts worked on the full-text review and initial wording of recommendations. A group of 62 multidisciplinary healthcare specialists validated the final proposal of summarised evidence.\nRESULTS: A strong agreement was reached for all 104 proposed recommendations. They cover diverse topics, such as pregnancy planning, follow-up during pregnancy and postpartum, delivery routes, locoregional analgesia or anaesthesia, prevention of postpartum relapses, breastfeeding, vaccinations, reproductive assistance, management of relapses and disease-modifying treatments.\nCONCLUSION: The 2022 recommendations of the French MS society should be helpful to harmonise counselling and treatment practice for pregnancy in persons with MS, allowing for better and individualised choices.","container-title":"Multiple Sclerosis (Houndmills, Basingstoke, England)","DOI":"10.1177/13524585221129472","ISSN":"1477-0970","journalAbbreviation":"Mult Scler","language":"eng","page":"13524585221129472","PMID":"36317497","source":"PubMed","title":"Pregnancy and multiple sclerosis: 2022 recommendations from the French multiple sclerosis society","title-short":"Pregnancy and multiple sclerosis","author":[{"family":"Vukusic","given":"Sandra"},{"family":"Carra-Dalliere","given":"Clarisse"},{"family":"Ciron","given":"Jonathan"},{"family":"Maillart","given":"Elisabeth"},{"family":"Michel","given":"Laure"},{"family":"Leray","given":"Emmanuelle"},{"family":"Guennoc","given":"Anne-Marie"},{"family":"Bourre","given":"Bertrand"},{"family":"Laplaud","given":"David"},{"family":"Androdias","given":"Géraldine"},{"family":"Bensa","given":"Caroline"},{"family":"Bigaut","given":"Kevin"},{"family":"Biotti","given":"Damien"},{"family":"Branger","given":"Pierre"},{"family":"Casez","given":"Olivier"},{"family":"Cohen","given":"Mikael"},{"family":"Daval","given":"Elodie"},{"family":"Deschamps","given":"Romain"},{"family":"Donze","given":"Cécile"},{"family":"Dubessy","given":"Anne-Laure"},{"family":"Dulau","given":"Cécile"},{"family":"Durand-Dubief","given":"Françoise"},{"family":"Guillaume","given":"Maxime"},{"family":"Hebant","given":"Benjamin"},{"family":"Kremer","given":"Laurent"},{"family":"Kwiatkowski","given":"Arnaud"},{"family":"Lannoy","given":"Julien"},{"family":"Maarouf","given":"Adil"},{"family":"Manchon","given":"Eric"},{"family":"Mathey","given":"Guillaume"},{"family":"Moisset","given":"Xavier"},{"family":"Montcuquet","given":"Alexis"},{"family":"Pique","given":"Julie"},{"family":"Roux","given":"Thomas"},{"family":"Marignier","given":"Romain"},{"family":"Lebrun-Frenay","given":"Christine"}],"issued":{"date-parts":[["2022",11,1]]}}},{"id":2324,"uris":["http://zotero.org/users/4535351/items/FCKIA4AK"],"itemData":{"id":2324,"type":"article-journal","abstract":"Multiple sclerosis is often diagnosed in patients who are planning on having children. Although multiple sclerosis does not negatively influence most pregnancy outcomes, less is known regarding the effects of fetal exposure to novel disease-modifying therapies (DMTs). The withdrawal of some DMTs during pregnancy can modify the natural history of multiple sclerosis, resulting in a substantial risk of pregnancy-related relapse and disability. Drug labels are typically restrictive and favour fetal safety over maternal safety. Emerging data reporting outcomes in neonates exposed to DMTs in utero and through breastfeeding will allow for more careful and individualised treatment decisions. This emerging research is particularly important to guide decision making in women with high disease activity or who are treated with DMTs associated with risk of discontinuation rebound. As increasing data are generated in this field, periodic updates will be required to provide the most up to date guidance on how best to achieve multiple sclerosis stability during pregnancy and post partum, balanced with fetal and newborn safety.","container-title":"The Lancet. Neurology","DOI":"10.1016/S1474-4422(22)00426-4","ISSN":"1474-4465","issue":"4","journalAbbreviation":"Lancet Neurol","language":"eng","page":"350-366","PMID":"36931808","source":"PubMed","title":"Family planning considerations in people with multiple sclerosis","volume":"22","author":[{"family":"Krysko","given":"Kristen M."},{"family":"Dobson","given":"Ruth"},{"family":"Alroughani","given":"Raed"},{"family":"Amato","given":"Maria Pia"},{"family":"Bove","given":"Riley"},{"family":"Ciplea","given":"Andrea I."},{"family":"Fragoso","given":"Yara"},{"family":"Houtchens","given":"Maria"},{"family":"Jokubaitis","given":"Vilija G."},{"family":"Magyari","given":"Melinda"},{"family":"Abdelnasser","given":"Azza"},{"family":"Padma","given":"Vasantha"},{"family":"Thiel","given":"Sandra"},{"family":"Tintore","given":"Mar"},{"family":"Vukusic","given":"Sandra"},{"family":"Hellwig","given":"Kerstin"}],"issued":{"date-parts":[["2023",4]]}}},{"id":2721,"uris":["http://zotero.org/users/4535351/items/TFUZKUG8"],"itemData":{"id":2721,"type":"article-journal","abstract":"With evolving diagnostic criteria and the advent of new oral and parenteral therapies for Multiple Sclerosis (MS), most current diagnostic and treatment algorithms need revision and updating. The diagnosis of MS relies on incorporating clinical and paraclinical findings to prove dissemination in space and time and exclude alternative diseases that can explain the findings at hand. The differential diagnostic workup should be guided by clinical and laboratory red flags to avoid unnecessary tests. Appropriate selection of MS therapies is critical to maximize patient benefit. The current guidelines review the current diagnostic criteria for MS and the scientific evidence supporting treatment of acute relapses, radiologically isolated syndrome, clinically isolated syndrome, relapsing remitting MS, progressive MS, pediatric cases and pregnant women. The purpose of these guidelines is to provide practical recommendations and algorithms for the diagnosis and treatment of MS based on current scientific evidence and clinical experience.","container-title":"Multiple Sclerosis and Related Disorders","DOI":"10.1016/j.msard.2024.105435","ISSN":"2211-0348","journalAbbreviation":"Multiple Sclerosis and Related Disorders","page":"105435","source":"ScienceDirect","title":"Consensus recommendations for diagnosis and treatment of Multiple Sclerosis: 2023 revision of the MENACTRIMS guidelines","title-short":"Consensus recommendations for diagnosis and treatment of Multiple Sclerosis","volume":"83","author":[{"family":"Yamout","given":"B."},{"family":"Al-Jumah","given":"M."},{"family":"Sahraian","given":"M. A."},{"family":"Almalik","given":"Y"},{"family":"Khaburi","given":"J. Al"},{"family":"Shalaby","given":"N."},{"family":"Aljarallah","given":"S"},{"family":"Bohlega","given":"S."},{"family":"Dahdaleh","given":"M."},{"family":"Almahdawi","given":"A."},{"family":"Khoury","given":"S. J."},{"family":"Koussa","given":"S."},{"family":"Slassi","given":"E."},{"family":"Daoudi","given":"S"},{"family":"Aref","given":"H."},{"family":"Mrabet","given":"S."},{"family":"Zeineddine","given":"M."},{"family":"Zakaria","given":"M."},{"family":"Inshasi","given":"J."},{"family":"Gouider","given":"R."},{"family":"Alroughani","given":"R."}],"issued":{"date-parts":[["2024",3,1]]}}},{"id":2723,"uris":["http://zotero.org/users/4535351/items/MAGHGFRE"],"itemData":{"id":2723,"type":"article-journal","abstract":"Multiple sclerosis (MS) is usually diagnosed between twenty and forty years of age, when people often plan to have children. A lot has been said about the effect of pregnancy on the course of MS. The individual factors responsible for the disease modifying effect of pregnancy are not well determined. Having MS neither affects the fertility or the course of pregnancy itself. During pregnancy, many women find that their symptoms stay the same or even improve. Epidural and spinal analgesia appear to be safe and in general are not contraindicated for patients with MS. The management of disease-modifying treatments (DMTs) in pregnancy is a new issue for consideration in the clinical practice. There is limited information available into the safety of DMT use during pregnancy, especially for the most recent ones. In general, discontinuation of DMTs is recommended before conception to minimize risk of fetal harm. Women with very active MS before pregnancy who stop second-line treatments may show an increase in disease activity during pregnancy. Therefore, it might be discussed to maintain patients on DMTs until pregnancy is confirmed, and sometimes throughout pregnancy, to avoid a rebound of disease activity and severe relapses during pregnancy in very active patients.","container-title":"Revue Neurologique","DOI":"10.1016/j.neurol.2020.05.005","ISSN":"0035-3787","issue":"3","journalAbbreviation":"Revue Neurologique","page":"180-194","source":"ScienceDirect","title":"Pregnancy with multiple sclerosis","volume":"177","author":[{"family":"Vukusic","given":"S."},{"family":"Michel","given":"L."},{"family":"Leguy","given":"S."},{"family":"Lebrun-Frenay","given":"C."}],"issued":{"date-parts":[["2021",3,1]]}}}],"schema":"https://github.com/citation-style-language/schema/raw/master/csl-citation.json"} </w:instrText>
      </w:r>
      <w:r w:rsidRPr="008C43FB">
        <w:rPr>
          <w:lang w:val="en-US"/>
        </w:rPr>
        <w:fldChar w:fldCharType="separate"/>
      </w:r>
      <w:r w:rsidR="003A626F" w:rsidRPr="008C43FB">
        <w:rPr>
          <w:rFonts w:ascii="Calibri" w:hAnsi="Calibri" w:cs="Calibri"/>
          <w:lang w:val="en-US"/>
        </w:rPr>
        <w:t>[1,3,8,9]</w:t>
      </w:r>
      <w:r w:rsidRPr="008C43FB">
        <w:rPr>
          <w:lang w:val="en-US"/>
        </w:rPr>
        <w:fldChar w:fldCharType="end"/>
      </w:r>
      <w:r w:rsidRPr="008C43FB">
        <w:rPr>
          <w:lang w:val="en-US"/>
        </w:rPr>
        <w:t xml:space="preserve">. By contrast, natalizumab, anti-CD20 therapies (ocrelizumab, rituximab) and newer treatments like cladribine and alemtuzumab </w:t>
      </w:r>
      <w:r w:rsidR="00531C67" w:rsidRPr="008C43FB">
        <w:rPr>
          <w:lang w:val="en-US"/>
        </w:rPr>
        <w:t xml:space="preserve">are considered with </w:t>
      </w:r>
      <w:r w:rsidRPr="008C43FB">
        <w:rPr>
          <w:lang w:val="en-US"/>
        </w:rPr>
        <w:t>caution</w:t>
      </w:r>
      <w:r w:rsidR="00EC307F" w:rsidRPr="008C43FB">
        <w:rPr>
          <w:lang w:val="en-US"/>
        </w:rPr>
        <w:t xml:space="preserve"> </w:t>
      </w:r>
      <w:r w:rsidR="00DA58B0" w:rsidRPr="008C43FB">
        <w:rPr>
          <w:lang w:val="en-US"/>
        </w:rPr>
        <w:fldChar w:fldCharType="begin"/>
      </w:r>
      <w:r w:rsidR="00890BE5" w:rsidRPr="008C43FB">
        <w:rPr>
          <w:lang w:val="en-US"/>
        </w:rPr>
        <w:instrText xml:space="preserve"> ADDIN ZOTERO_ITEM CSL_CITATION {"citationID":"PwZif4Fm","properties":{"formattedCitation":"[1]","plainCitation":"[1]","noteIndex":0},"citationItems":[{"id":2069,"uris":["http://zotero.org/users/4535351/items/4ICTV23N"],"itemData":{"id":2069,"type":"article-journal","abstract":"OBJECTIVE: The objective of this study was to develop evidence-based recommendations on pregnancy management for persons with multiple sclerosis (MS).\nBACKGROUND: MS typically affects young women in their childbearing years. Increasing evidence is available to inform questions raised by MS patients and health professionals about pregnancy issues.\nMETHODS: The French Group for Recommendations in Multiple Sclerosis (France4MS) reviewed PubMed and university databases (January 1975 through June 2021). The RAND/UCLA appropriateness method was developed to synthesise the scientific literature and expert opinions on healthcare topics; it was used to reach a formal agreement. Fifty-six MS experts worked on the full-text review and initial wording of recommendations. A group of 62 multidisciplinary healthcare specialists validated the final proposal of summarised evidence.\nRESULTS: A strong agreement was reached for all 104 proposed recommendations. They cover diverse topics, such as pregnancy planning, follow-up during pregnancy and postpartum, delivery routes, locoregional analgesia or anaesthesia, prevention of postpartum relapses, breastfeeding, vaccinations, reproductive assistance, management of relapses and disease-modifying treatments.\nCONCLUSION: The 2022 recommendations of the French MS society should be helpful to harmonise counselling and treatment practice for pregnancy in persons with MS, allowing for better and individualised choices.","container-title":"Multiple Sclerosis (Houndmills, Basingstoke, England)","DOI":"10.1177/13524585221129472","ISSN":"1477-0970","journalAbbreviation":"Mult Scler","language":"eng","page":"13524585221129472","PMID":"36317497","source":"PubMed","title":"Pregnancy and multiple sclerosis: 2022 recommendations from the French multiple sclerosis society","title-short":"Pregnancy and multiple sclerosis","author":[{"family":"Vukusic","given":"Sandra"},{"family":"Carra-Dalliere","given":"Clarisse"},{"family":"Ciron","given":"Jonathan"},{"family":"Maillart","given":"Elisabeth"},{"family":"Michel","given":"Laure"},{"family":"Leray","given":"Emmanuelle"},{"family":"Guennoc","given":"Anne-Marie"},{"family":"Bourre","given":"Bertrand"},{"family":"Laplaud","given":"David"},{"family":"Androdias","given":"Géraldine"},{"family":"Bensa","given":"Caroline"},{"family":"Bigaut","given":"Kevin"},{"family":"Biotti","given":"Damien"},{"family":"Branger","given":"Pierre"},{"family":"Casez","given":"Olivier"},{"family":"Cohen","given":"Mikael"},{"family":"Daval","given":"Elodie"},{"family":"Deschamps","given":"Romain"},{"family":"Donze","given":"Cécile"},{"family":"Dubessy","given":"Anne-Laure"},{"family":"Dulau","given":"Cécile"},{"family":"Durand-Dubief","given":"Françoise"},{"family":"Guillaume","given":"Maxime"},{"family":"Hebant","given":"Benjamin"},{"family":"Kremer","given":"Laurent"},{"family":"Kwiatkowski","given":"Arnaud"},{"family":"Lannoy","given":"Julien"},{"family":"Maarouf","given":"Adil"},{"family":"Manchon","given":"Eric"},{"family":"Mathey","given":"Guillaume"},{"family":"Moisset","given":"Xavier"},{"family":"Montcuquet","given":"Alexis"},{"family":"Pique","given":"Julie"},{"family":"Roux","given":"Thomas"},{"family":"Marignier","given":"Romain"},{"family":"Lebrun-Frenay","given":"Christine"}],"issued":{"date-parts":[["2022",11,1]]}}}],"schema":"https://github.com/citation-style-language/schema/raw/master/csl-citation.json"} </w:instrText>
      </w:r>
      <w:r w:rsidR="00DA58B0" w:rsidRPr="008C43FB">
        <w:rPr>
          <w:lang w:val="en-US"/>
        </w:rPr>
        <w:fldChar w:fldCharType="separate"/>
      </w:r>
      <w:r w:rsidR="003A626F" w:rsidRPr="008C43FB">
        <w:rPr>
          <w:rFonts w:ascii="Calibri" w:hAnsi="Calibri" w:cs="Calibri"/>
          <w:lang w:val="en-US"/>
        </w:rPr>
        <w:t>[1]</w:t>
      </w:r>
      <w:r w:rsidR="00DA58B0" w:rsidRPr="008C43FB">
        <w:rPr>
          <w:lang w:val="en-US"/>
        </w:rPr>
        <w:fldChar w:fldCharType="end"/>
      </w:r>
      <w:r w:rsidR="00672221" w:rsidRPr="008C43FB">
        <w:rPr>
          <w:lang w:val="en-US"/>
        </w:rPr>
        <w:t xml:space="preserve">. In addition, despite conflicting results, </w:t>
      </w:r>
      <w:r w:rsidR="004D6ABF" w:rsidRPr="008C43FB">
        <w:rPr>
          <w:lang w:val="en-US"/>
        </w:rPr>
        <w:t>f</w:t>
      </w:r>
      <w:r w:rsidRPr="008C43FB">
        <w:rPr>
          <w:lang w:val="en-US"/>
        </w:rPr>
        <w:t xml:space="preserve">ingolimod and teriflunomide are contraindicated during pregnancy due to their </w:t>
      </w:r>
      <w:r w:rsidR="00531C67" w:rsidRPr="008C43FB">
        <w:rPr>
          <w:lang w:val="en-US"/>
        </w:rPr>
        <w:t xml:space="preserve">suspected </w:t>
      </w:r>
      <w:r w:rsidRPr="008C43FB">
        <w:rPr>
          <w:lang w:val="en-US"/>
        </w:rPr>
        <w:t>teratogenic effects</w:t>
      </w:r>
      <w:r w:rsidR="004D6ABF" w:rsidRPr="008C43FB">
        <w:rPr>
          <w:lang w:val="en-US"/>
        </w:rPr>
        <w:t xml:space="preserve"> </w:t>
      </w:r>
      <w:r w:rsidR="004D6ABF" w:rsidRPr="008C43FB">
        <w:rPr>
          <w:lang w:val="en-US"/>
        </w:rPr>
        <w:fldChar w:fldCharType="begin"/>
      </w:r>
      <w:r w:rsidR="00890BE5" w:rsidRPr="008C43FB">
        <w:rPr>
          <w:lang w:val="en-US"/>
        </w:rPr>
        <w:instrText xml:space="preserve"> ADDIN ZOTERO_ITEM CSL_CITATION {"citationID":"FKk3GDmk","properties":{"formattedCitation":"[1,26,27]","plainCitation":"[1,26,27]","noteIndex":0},"citationItems":[{"id":2069,"uris":["http://zotero.org/users/4535351/items/4ICTV23N"],"itemData":{"id":2069,"type":"article-journal","abstract":"OBJECTIVE: The objective of this study was to develop evidence-based recommendations on pregnancy management for persons with multiple sclerosis (MS).\nBACKGROUND: MS typically affects young women in their childbearing years. Increasing evidence is available to inform questions raised by MS patients and health professionals about pregnancy issues.\nMETHODS: The French Group for Recommendations in Multiple Sclerosis (France4MS) reviewed PubMed and university databases (January 1975 through June 2021). The RAND/UCLA appropriateness method was developed to synthesise the scientific literature and expert opinions on healthcare topics; it was used to reach a formal agreement. Fifty-six MS experts worked on the full-text review and initial wording of recommendations. A group of 62 multidisciplinary healthcare specialists validated the final proposal of summarised evidence.\nRESULTS: A strong agreement was reached for all 104 proposed recommendations. They cover diverse topics, such as pregnancy planning, follow-up during pregnancy and postpartum, delivery routes, locoregional analgesia or anaesthesia, prevention of postpartum relapses, breastfeeding, vaccinations, reproductive assistance, management of relapses and disease-modifying treatments.\nCONCLUSION: The 2022 recommendations of the French MS society should be helpful to harmonise counselling and treatment practice for pregnancy in persons with MS, allowing for better and individualised choices.","container-title":"Multiple Sclerosis (Houndmills, Basingstoke, England)","DOI":"10.1177/13524585221129472","ISSN":"1477-0970","journalAbbreviation":"Mult Scler","language":"eng","page":"13524585221129472","PMID":"36317497","source":"PubMed","title":"Pregnancy and multiple sclerosis: 2022 recommendations from the French multiple sclerosis society","title-short":"Pregnancy and multiple sclerosis","author":[{"family":"Vukusic","given":"Sandra"},{"family":"Carra-Dalliere","given":"Clarisse"},{"family":"Ciron","given":"Jonathan"},{"family":"Maillart","given":"Elisabeth"},{"family":"Michel","given":"Laure"},{"family":"Leray","given":"Emmanuelle"},{"family":"Guennoc","given":"Anne-Marie"},{"family":"Bourre","given":"Bertrand"},{"family":"Laplaud","given":"David"},{"family":"Androdias","given":"Géraldine"},{"family":"Bensa","given":"Caroline"},{"family":"Bigaut","given":"Kevin"},{"family":"Biotti","given":"Damien"},{"family":"Branger","given":"Pierre"},{"family":"Casez","given":"Olivier"},{"family":"Cohen","given":"Mikael"},{"family":"Daval","given":"Elodie"},{"family":"Deschamps","given":"Romain"},{"family":"Donze","given":"Cécile"},{"family":"Dubessy","given":"Anne-Laure"},{"family":"Dulau","given":"Cécile"},{"family":"Durand-Dubief","given":"Françoise"},{"family":"Guillaume","given":"Maxime"},{"family":"Hebant","given":"Benjamin"},{"family":"Kremer","given":"Laurent"},{"family":"Kwiatkowski","given":"Arnaud"},{"family":"Lannoy","given":"Julien"},{"family":"Maarouf","given":"Adil"},{"family":"Manchon","given":"Eric"},{"family":"Mathey","given":"Guillaume"},{"family":"Moisset","given":"Xavier"},{"family":"Montcuquet","given":"Alexis"},{"family":"Pique","given":"Julie"},{"family":"Roux","given":"Thomas"},{"family":"Marignier","given":"Romain"},{"family":"Lebrun-Frenay","given":"Christine"}],"issued":{"date-parts":[["2022",11,1]]}}},{"id":2149,"uris":["http://zotero.org/users/4535351/items/L2XFIH6A"],"itemData":{"id":2149,"type":"article-journal","abstract":"BACKGROUND AND METHODS: Limited data are available on the safety of fingolimod in pregnant women. We estimated the risk of adverse pregnancy outcomes in women with multiple sclerosis (MS) exposed to fingolimod either shortly before or during pregnancy in prospectively collected cases from clinical trials, observational studies, surveillance programs, and spontaneous reports.\nRESULTS: The prevalence of major malformations among live births does not appear to be significantly higher than those in the general population and the unexposed MS population. Similarly, the prevalence of cardiac malformations observed in this analysis was not significantly different from that of the general population. Proportions of miscarriage were in line with those of the general and unexposed MS population and no specific pattern of birth defects was identified.\nCONCLUSIONS: These data can help inform healthcare professionals and women with MS exposed to fingolimod during conception.","container-title":"Therapeutic Advances in Neurological Disorders","DOI":"10.1177/1756286418804760","ISSN":"1756-2856","journalAbbreviation":"Ther Adv Neurol Disord","language":"eng","page":"1756286418804760","PMID":"30542374","PMCID":"PMC6236588","source":"PubMed","title":"Evaluation of pregnancy outcomes in patients with multiple sclerosis after fingolimod exposure","volume":"11","author":[{"family":"Geissbühler","given":"Yvonne"},{"family":"Vile","given":"Jere"},{"family":"Koren","given":"Gideon"},{"family":"Guennec","given":"Morgane"},{"family":"Butzkueven","given":"Helmut"},{"family":"Tilson","given":"Hugh"},{"family":"MacDonald","given":"Thomas M."},{"family":"Hellwig","given":"Kerstin"}],"issued":{"date-parts":[["2018"]]}}},{"id":2188,"uris":["http://zotero.org/users/4535351/items/JCZE2WQU"],"itemData":{"id":2188,"type":"article-journal","abstract":"OBJECTIVE: To report outcomes of pregnancies that occurred during the fingolimod clinical development program.\nMETHODS: Pregnancy outcomes from phase II, phase III, and phase IV clinical studies (with optional extensions) were reported by clinical trial investigators. Fingolimod exposure in utero was defined as fingolimod treatment at the time of conception or in the 6 weeks before conception.\nRESULTS: As of October 31, 2011, 89 pregnancies were reported in completed or ongoing clinical studies, with 74 in fingolimod treatment arms. Of 66 pregnancies with in utero exposure to fingolimod, there were 28 live births, 9 spontaneous abortions, 24 elective abortions, 4 ongoing pregnancies, and 1 pregnancy with an unknown outcome (patient lost to follow-up). Two infants were born with malformations: 1 with congenital unilateral posteromedial bowing of the tibia and 1 with acrania. Elective abortions were performed for 1 case each of tetralogy of Fallot, spontaneous intrauterine death, and failure of fetal development. There were 5 cases (7.6%; 95% confidence interval 3%-17%) of abnormal fetal development in the 66 pregnancies that had in utero exposure to fingolimod. In all 5 cases, fetal exposure to the drug took place in the first trimester of pregnancy.\nCONCLUSIONS: The number of patients becoming pregnant during fingolimod therapy remains small and does not permit firm conclusions to be drawn about fetal safety of fingolimod in humans. Given the known risks of teratogenicity in animals and the present data, women of childbearing potential should use effective contraception during fingolimod therapy and for 2 months after discontinuation.","container-title":"Neurology","DOI":"10.1212/WNL.0000000000000137","ISSN":"1526-632X","issue":"8","journalAbbreviation":"Neurology","language":"eng","page":"674-680","PMID":"24463630","PMCID":"PMC3945658","source":"PubMed","title":"Pregnancy outcomes in the clinical development program of fingolimod in multiple sclerosis","volume":"82","author":[{"family":"Karlsson","given":"Goeril"},{"family":"Francis","given":"Gordon"},{"family":"Koren","given":"Gideon"},{"family":"Heining","given":"Peter"},{"family":"Zhang","given":"Xiaoli"},{"family":"Cohen","given":"Jeffrey A."},{"family":"Kappos","given":"Ludwig"},{"family":"Collins","given":"William"}],"issued":{"date-parts":[["2014",2,25]]}}}],"schema":"https://github.com/citation-style-language/schema/raw/master/csl-citation.json"} </w:instrText>
      </w:r>
      <w:r w:rsidR="004D6ABF" w:rsidRPr="008C43FB">
        <w:rPr>
          <w:lang w:val="en-US"/>
        </w:rPr>
        <w:fldChar w:fldCharType="separate"/>
      </w:r>
      <w:r w:rsidR="003A626F" w:rsidRPr="008C43FB">
        <w:rPr>
          <w:rFonts w:ascii="Calibri" w:hAnsi="Calibri" w:cs="Calibri"/>
          <w:lang w:val="en-US"/>
        </w:rPr>
        <w:t>[1,26,27]</w:t>
      </w:r>
      <w:r w:rsidR="004D6ABF" w:rsidRPr="008C43FB">
        <w:rPr>
          <w:lang w:val="en-US"/>
        </w:rPr>
        <w:fldChar w:fldCharType="end"/>
      </w:r>
      <w:r w:rsidRPr="008C43FB">
        <w:rPr>
          <w:lang w:val="en-US"/>
        </w:rPr>
        <w:t xml:space="preserve">. </w:t>
      </w:r>
      <w:r w:rsidR="007F581B" w:rsidRPr="008C43FB">
        <w:rPr>
          <w:lang w:val="en-US"/>
        </w:rPr>
        <w:t>M</w:t>
      </w:r>
      <w:r w:rsidRPr="008C43FB">
        <w:rPr>
          <w:rFonts w:cstheme="minorHAnsi"/>
          <w:lang w:val="en-US"/>
        </w:rPr>
        <w:t xml:space="preserve">ost of the recommendations on DMTs use during pregnancy </w:t>
      </w:r>
      <w:r w:rsidR="00E6356A" w:rsidRPr="008C43FB">
        <w:rPr>
          <w:lang w:val="en-US"/>
        </w:rPr>
        <w:t xml:space="preserve">are based on observational evidence and expert consensus </w:t>
      </w:r>
      <w:r w:rsidR="0000540B" w:rsidRPr="008C43FB">
        <w:rPr>
          <w:lang w:val="en-US"/>
        </w:rPr>
        <w:t xml:space="preserve">due to the ethical and practical limitations of conducting </w:t>
      </w:r>
      <w:r w:rsidR="00EE4722" w:rsidRPr="00EE4722">
        <w:rPr>
          <w:lang w:val="en-US"/>
        </w:rPr>
        <w:t>randomized</w:t>
      </w:r>
      <w:r w:rsidR="00F90638" w:rsidRPr="008C43FB">
        <w:rPr>
          <w:lang w:val="en-US"/>
        </w:rPr>
        <w:t xml:space="preserve"> comparative trials </w:t>
      </w:r>
      <w:r w:rsidR="0000540B" w:rsidRPr="008C43FB">
        <w:rPr>
          <w:lang w:val="en-US"/>
        </w:rPr>
        <w:t xml:space="preserve"> in pregnant women</w:t>
      </w:r>
      <w:r w:rsidRPr="008C43FB">
        <w:rPr>
          <w:rFonts w:cstheme="minorHAnsi"/>
          <w:lang w:val="en-US"/>
        </w:rPr>
        <w:t xml:space="preserve"> </w:t>
      </w:r>
      <w:r w:rsidRPr="008C43FB">
        <w:rPr>
          <w:rFonts w:cstheme="minorHAnsi"/>
          <w:lang w:val="en-US"/>
        </w:rPr>
        <w:fldChar w:fldCharType="begin"/>
      </w:r>
      <w:r w:rsidR="00890BE5" w:rsidRPr="008C43FB">
        <w:rPr>
          <w:rFonts w:cstheme="minorHAnsi"/>
          <w:lang w:val="en-US"/>
        </w:rPr>
        <w:instrText xml:space="preserve"> ADDIN ZOTERO_ITEM CSL_CITATION {"citationID":"2bV9TPzy","properties":{"formattedCitation":"[1]","plainCitation":"[1]","noteIndex":0},"citationItems":[{"id":2069,"uris":["http://zotero.org/users/4535351/items/4ICTV23N"],"itemData":{"id":2069,"type":"article-journal","abstract":"OBJECTIVE: The objective of this study was to develop evidence-based recommendations on pregnancy management for persons with multiple sclerosis (MS).\nBACKGROUND: MS typically affects young women in their childbearing years. Increasing evidence is available to inform questions raised by MS patients and health professionals about pregnancy issues.\nMETHODS: The French Group for Recommendations in Multiple Sclerosis (France4MS) reviewed PubMed and university databases (January 1975 through June 2021). The RAND/UCLA appropriateness method was developed to synthesise the scientific literature and expert opinions on healthcare topics; it was used to reach a formal agreement. Fifty-six MS experts worked on the full-text review and initial wording of recommendations. A group of 62 multidisciplinary healthcare specialists validated the final proposal of summarised evidence.\nRESULTS: A strong agreement was reached for all 104 proposed recommendations. They cover diverse topics, such as pregnancy planning, follow-up during pregnancy and postpartum, delivery routes, locoregional analgesia or anaesthesia, prevention of postpartum relapses, breastfeeding, vaccinations, reproductive assistance, management of relapses and disease-modifying treatments.\nCONCLUSION: The 2022 recommendations of the French MS society should be helpful to harmonise counselling and treatment practice for pregnancy in persons with MS, allowing for better and individualised choices.","container-title":"Multiple Sclerosis (Houndmills, Basingstoke, England)","DOI":"10.1177/13524585221129472","ISSN":"1477-0970","journalAbbreviation":"Mult Scler","language":"eng","page":"13524585221129472","PMID":"36317497","source":"PubMed","title":"Pregnancy and multiple sclerosis: 2022 recommendations from the French multiple sclerosis society","title-short":"Pregnancy and multiple sclerosis","author":[{"family":"Vukusic","given":"Sandra"},{"family":"Carra-Dalliere","given":"Clarisse"},{"family":"Ciron","given":"Jonathan"},{"family":"Maillart","given":"Elisabeth"},{"family":"Michel","given":"Laure"},{"family":"Leray","given":"Emmanuelle"},{"family":"Guennoc","given":"Anne-Marie"},{"family":"Bourre","given":"Bertrand"},{"family":"Laplaud","given":"David"},{"family":"Androdias","given":"Géraldine"},{"family":"Bensa","given":"Caroline"},{"family":"Bigaut","given":"Kevin"},{"family":"Biotti","given":"Damien"},{"family":"Branger","given":"Pierre"},{"family":"Casez","given":"Olivier"},{"family":"Cohen","given":"Mikael"},{"family":"Daval","given":"Elodie"},{"family":"Deschamps","given":"Romain"},{"family":"Donze","given":"Cécile"},{"family":"Dubessy","given":"Anne-Laure"},{"family":"Dulau","given":"Cécile"},{"family":"Durand-Dubief","given":"Françoise"},{"family":"Guillaume","given":"Maxime"},{"family":"Hebant","given":"Benjamin"},{"family":"Kremer","given":"Laurent"},{"family":"Kwiatkowski","given":"Arnaud"},{"family":"Lannoy","given":"Julien"},{"family":"Maarouf","given":"Adil"},{"family":"Manchon","given":"Eric"},{"family":"Mathey","given":"Guillaume"},{"family":"Moisset","given":"Xavier"},{"family":"Montcuquet","given":"Alexis"},{"family":"Pique","given":"Julie"},{"family":"Roux","given":"Thomas"},{"family":"Marignier","given":"Romain"},{"family":"Lebrun-Frenay","given":"Christine"}],"issued":{"date-parts":[["2022",11,1]]}}}],"schema":"https://github.com/citation-style-language/schema/raw/master/csl-citation.json"} </w:instrText>
      </w:r>
      <w:r w:rsidRPr="008C43FB">
        <w:rPr>
          <w:rFonts w:cstheme="minorHAnsi"/>
          <w:lang w:val="en-US"/>
        </w:rPr>
        <w:fldChar w:fldCharType="separate"/>
      </w:r>
      <w:r w:rsidR="003A626F" w:rsidRPr="008C43FB">
        <w:rPr>
          <w:rFonts w:ascii="Calibri" w:hAnsi="Calibri" w:cs="Calibri"/>
          <w:lang w:val="en-US"/>
        </w:rPr>
        <w:t>[1]</w:t>
      </w:r>
      <w:r w:rsidRPr="008C43FB">
        <w:rPr>
          <w:rFonts w:cstheme="minorHAnsi"/>
          <w:lang w:val="en-US"/>
        </w:rPr>
        <w:fldChar w:fldCharType="end"/>
      </w:r>
      <w:r w:rsidRPr="008C43FB">
        <w:rPr>
          <w:rFonts w:cstheme="minorHAnsi"/>
          <w:lang w:val="en-US"/>
        </w:rPr>
        <w:t xml:space="preserve">. </w:t>
      </w:r>
    </w:p>
    <w:p w14:paraId="57C80833" w14:textId="5AF64927" w:rsidR="00A639CB" w:rsidRPr="008C43FB" w:rsidRDefault="00EE1F19" w:rsidP="00F604FE">
      <w:pPr>
        <w:spacing w:line="360" w:lineRule="auto"/>
        <w:jc w:val="both"/>
        <w:rPr>
          <w:rFonts w:cstheme="minorHAnsi"/>
          <w:lang w:val="en-US"/>
        </w:rPr>
      </w:pPr>
      <w:r w:rsidRPr="008C43FB">
        <w:rPr>
          <w:rFonts w:cstheme="minorHAnsi"/>
          <w:lang w:val="en-US"/>
        </w:rPr>
        <w:t xml:space="preserve">In this study, </w:t>
      </w:r>
      <w:r w:rsidR="000A2644" w:rsidRPr="008C43FB">
        <w:rPr>
          <w:rFonts w:cstheme="minorHAnsi"/>
          <w:lang w:val="en-US"/>
        </w:rPr>
        <w:t>we utilized a large population-based database</w:t>
      </w:r>
      <w:r w:rsidR="009E2E88" w:rsidRPr="008C43FB">
        <w:rPr>
          <w:rFonts w:cstheme="minorHAnsi"/>
          <w:lang w:val="en-US"/>
        </w:rPr>
        <w:t xml:space="preserve">, involving </w:t>
      </w:r>
      <w:r w:rsidR="002D4B6B" w:rsidRPr="008C43FB">
        <w:rPr>
          <w:rFonts w:cstheme="minorHAnsi"/>
          <w:lang w:val="en-US"/>
        </w:rPr>
        <w:t xml:space="preserve">several </w:t>
      </w:r>
      <w:r w:rsidR="009E2E88" w:rsidRPr="008C43FB">
        <w:rPr>
          <w:rFonts w:cstheme="minorHAnsi"/>
          <w:lang w:val="en-US"/>
        </w:rPr>
        <w:t>countries</w:t>
      </w:r>
      <w:r w:rsidR="000A2644" w:rsidRPr="008C43FB">
        <w:rPr>
          <w:rFonts w:cstheme="minorHAnsi"/>
          <w:lang w:val="en-US"/>
        </w:rPr>
        <w:t xml:space="preserve"> </w:t>
      </w:r>
      <w:r w:rsidR="00597AE1" w:rsidRPr="008C43FB">
        <w:rPr>
          <w:rFonts w:cstheme="minorHAnsi"/>
          <w:lang w:val="en-US"/>
        </w:rPr>
        <w:t xml:space="preserve">across Europe </w:t>
      </w:r>
      <w:r w:rsidR="000A2644" w:rsidRPr="008C43FB">
        <w:rPr>
          <w:rFonts w:cstheme="minorHAnsi"/>
          <w:lang w:val="en-US"/>
        </w:rPr>
        <w:t xml:space="preserve">to </w:t>
      </w:r>
      <w:r w:rsidR="00337163" w:rsidRPr="008C43FB">
        <w:rPr>
          <w:rFonts w:cstheme="minorHAnsi"/>
          <w:lang w:val="en-US"/>
        </w:rPr>
        <w:t>provide</w:t>
      </w:r>
      <w:r w:rsidR="002D4B6B" w:rsidRPr="008C43FB">
        <w:rPr>
          <w:rFonts w:cstheme="minorHAnsi"/>
          <w:lang w:val="en-US"/>
        </w:rPr>
        <w:t xml:space="preserve"> additional data to investigate whether </w:t>
      </w:r>
      <w:r w:rsidR="00CF4427" w:rsidRPr="008C43FB">
        <w:rPr>
          <w:rFonts w:cstheme="minorHAnsi"/>
          <w:lang w:val="en-US"/>
        </w:rPr>
        <w:t xml:space="preserve">maternal </w:t>
      </w:r>
      <w:r w:rsidR="00684393" w:rsidRPr="008C43FB">
        <w:rPr>
          <w:rFonts w:cstheme="minorHAnsi"/>
          <w:lang w:val="en-US"/>
        </w:rPr>
        <w:t>MS</w:t>
      </w:r>
      <w:r w:rsidR="00CF4427" w:rsidRPr="008C43FB">
        <w:rPr>
          <w:rFonts w:cstheme="minorHAnsi"/>
          <w:lang w:val="en-US"/>
        </w:rPr>
        <w:t xml:space="preserve"> and MS </w:t>
      </w:r>
      <w:r w:rsidR="00684393" w:rsidRPr="008C43FB">
        <w:rPr>
          <w:rFonts w:cstheme="minorHAnsi"/>
          <w:lang w:val="en-US"/>
        </w:rPr>
        <w:t xml:space="preserve">DMT </w:t>
      </w:r>
      <w:r w:rsidR="00CF4427" w:rsidRPr="008C43FB">
        <w:rPr>
          <w:rFonts w:cstheme="minorHAnsi"/>
          <w:lang w:val="en-US"/>
        </w:rPr>
        <w:t xml:space="preserve">exposure </w:t>
      </w:r>
      <w:r w:rsidR="00684393" w:rsidRPr="008C43FB">
        <w:rPr>
          <w:rFonts w:cstheme="minorHAnsi"/>
          <w:lang w:val="en-US"/>
        </w:rPr>
        <w:t>during</w:t>
      </w:r>
      <w:r w:rsidR="004D6ABF" w:rsidRPr="008C43FB">
        <w:rPr>
          <w:rFonts w:cstheme="minorHAnsi"/>
          <w:lang w:val="en-US"/>
        </w:rPr>
        <w:t xml:space="preserve"> the</w:t>
      </w:r>
      <w:r w:rsidR="00684393" w:rsidRPr="008C43FB">
        <w:rPr>
          <w:rFonts w:cstheme="minorHAnsi"/>
          <w:lang w:val="en-US"/>
        </w:rPr>
        <w:t xml:space="preserve"> first trimester of pregnancy</w:t>
      </w:r>
      <w:r w:rsidR="002D4B6B" w:rsidRPr="008C43FB">
        <w:rPr>
          <w:rFonts w:cstheme="minorHAnsi"/>
          <w:lang w:val="en-US"/>
        </w:rPr>
        <w:t xml:space="preserve"> could be associated with specific </w:t>
      </w:r>
      <w:r w:rsidR="00F85A84" w:rsidRPr="008C43FB">
        <w:rPr>
          <w:rFonts w:cstheme="minorHAnsi"/>
          <w:lang w:val="en-US"/>
        </w:rPr>
        <w:t>CA</w:t>
      </w:r>
      <w:r w:rsidR="00684393" w:rsidRPr="008C43FB">
        <w:rPr>
          <w:rFonts w:cstheme="minorHAnsi"/>
          <w:lang w:val="en-US"/>
        </w:rPr>
        <w:t>.</w:t>
      </w:r>
    </w:p>
    <w:p w14:paraId="57C80834" w14:textId="77777777" w:rsidR="0060609B" w:rsidRPr="008C43FB" w:rsidRDefault="000A2644" w:rsidP="00A46DFC">
      <w:pPr>
        <w:pStyle w:val="Titre2"/>
        <w:numPr>
          <w:ilvl w:val="0"/>
          <w:numId w:val="12"/>
        </w:numPr>
        <w:rPr>
          <w:lang w:val="en-US"/>
        </w:rPr>
      </w:pPr>
      <w:r w:rsidRPr="008C43FB">
        <w:rPr>
          <w:lang w:val="en-US"/>
        </w:rPr>
        <w:t>Methods</w:t>
      </w:r>
    </w:p>
    <w:p w14:paraId="57C80835" w14:textId="77777777" w:rsidR="00A639CB" w:rsidRPr="008C43FB" w:rsidRDefault="000A2644" w:rsidP="00A639CB">
      <w:pPr>
        <w:pStyle w:val="Titre2"/>
        <w:rPr>
          <w:lang w:val="en-US"/>
        </w:rPr>
      </w:pPr>
      <w:r w:rsidRPr="008C43FB">
        <w:rPr>
          <w:lang w:val="en-US"/>
        </w:rPr>
        <w:lastRenderedPageBreak/>
        <w:t>D</w:t>
      </w:r>
      <w:r w:rsidR="00DE0CEE" w:rsidRPr="008C43FB">
        <w:rPr>
          <w:lang w:val="en-US"/>
        </w:rPr>
        <w:t>ata source and study population</w:t>
      </w:r>
    </w:p>
    <w:p w14:paraId="57C80836" w14:textId="7AD1ACC9" w:rsidR="00684393" w:rsidRPr="008C43FB" w:rsidRDefault="000A2644" w:rsidP="003C7311">
      <w:pPr>
        <w:autoSpaceDE w:val="0"/>
        <w:autoSpaceDN w:val="0"/>
        <w:adjustRightInd w:val="0"/>
        <w:spacing w:after="0" w:line="360" w:lineRule="auto"/>
        <w:jc w:val="both"/>
        <w:rPr>
          <w:rFonts w:cstheme="minorHAnsi"/>
          <w:lang w:val="en-US"/>
        </w:rPr>
      </w:pPr>
      <w:r w:rsidRPr="00EE4722">
        <w:rPr>
          <w:rFonts w:cstheme="minorHAnsi"/>
          <w:bCs/>
          <w:iCs/>
          <w:lang w:val="en-US"/>
        </w:rPr>
        <w:t xml:space="preserve">This international multicenter study involved the participation of 12 European countries. </w:t>
      </w:r>
      <w:r w:rsidRPr="008C43FB">
        <w:rPr>
          <w:rFonts w:cstheme="minorHAnsi"/>
          <w:lang w:val="en-US"/>
        </w:rPr>
        <w:t xml:space="preserve">We included data from 15 registries from EUROCAT, the European network for surveillance of </w:t>
      </w:r>
      <w:r w:rsidR="002C681A" w:rsidRPr="008C43FB">
        <w:rPr>
          <w:rFonts w:cstheme="minorHAnsi"/>
          <w:lang w:val="en-US"/>
        </w:rPr>
        <w:t>CA</w:t>
      </w:r>
      <w:r w:rsidRPr="008C43FB">
        <w:rPr>
          <w:rFonts w:cstheme="minorHAnsi"/>
          <w:lang w:val="en-US"/>
        </w:rPr>
        <w:t xml:space="preserve">, participating in </w:t>
      </w:r>
      <w:proofErr w:type="spellStart"/>
      <w:r w:rsidRPr="008C43FB">
        <w:rPr>
          <w:rFonts w:cstheme="minorHAnsi"/>
          <w:lang w:val="en-US"/>
        </w:rPr>
        <w:t>EUROmediCAT</w:t>
      </w:r>
      <w:proofErr w:type="spellEnd"/>
      <w:r w:rsidRPr="008C43FB">
        <w:rPr>
          <w:rFonts w:cstheme="minorHAnsi"/>
          <w:lang w:val="en-US"/>
        </w:rPr>
        <w:t xml:space="preserve">, the European research consortium dedicated to improve medication safety in pregnancy and one health care database (EFEMERIS, France). Supplementary table 1 shows the list of the participating registries and </w:t>
      </w:r>
      <w:r w:rsidR="004E1674" w:rsidRPr="008C43FB">
        <w:rPr>
          <w:rFonts w:cstheme="minorHAnsi"/>
          <w:lang w:val="en-US"/>
        </w:rPr>
        <w:t>health care database</w:t>
      </w:r>
      <w:r w:rsidRPr="008C43FB">
        <w:rPr>
          <w:rFonts w:cstheme="minorHAnsi"/>
          <w:lang w:val="en-US"/>
        </w:rPr>
        <w:t xml:space="preserve">, the years and number of births covered, along with the number of </w:t>
      </w:r>
      <w:r w:rsidR="002C681A" w:rsidRPr="008C43FB">
        <w:rPr>
          <w:rFonts w:cstheme="minorHAnsi"/>
          <w:lang w:val="en-US"/>
        </w:rPr>
        <w:t>CA</w:t>
      </w:r>
      <w:r w:rsidRPr="008C43FB">
        <w:rPr>
          <w:rFonts w:cstheme="minorHAnsi"/>
          <w:lang w:val="en-US"/>
        </w:rPr>
        <w:t xml:space="preserve">. </w:t>
      </w:r>
      <w:r w:rsidR="00150A90" w:rsidRPr="00EE4722">
        <w:rPr>
          <w:rFonts w:cstheme="minorHAnsi"/>
          <w:bCs/>
          <w:iCs/>
          <w:lang w:val="en-US"/>
        </w:rPr>
        <w:t xml:space="preserve">The </w:t>
      </w:r>
      <w:proofErr w:type="spellStart"/>
      <w:r w:rsidR="00150A90" w:rsidRPr="00EE4722">
        <w:rPr>
          <w:rFonts w:cstheme="minorHAnsi"/>
          <w:bCs/>
          <w:iCs/>
          <w:lang w:val="en-US"/>
        </w:rPr>
        <w:t>EUROmediCAT</w:t>
      </w:r>
      <w:proofErr w:type="spellEnd"/>
      <w:r w:rsidR="00150A90" w:rsidRPr="00EE4722">
        <w:rPr>
          <w:rFonts w:cstheme="minorHAnsi"/>
          <w:bCs/>
          <w:iCs/>
          <w:lang w:val="en-US"/>
        </w:rPr>
        <w:t xml:space="preserve"> central database</w:t>
      </w:r>
      <w:r w:rsidR="00F56BBF" w:rsidRPr="00EE4722">
        <w:rPr>
          <w:rFonts w:cstheme="minorHAnsi"/>
          <w:bCs/>
          <w:iCs/>
          <w:lang w:val="en-US"/>
        </w:rPr>
        <w:t xml:space="preserve"> </w:t>
      </w:r>
      <w:r w:rsidR="00150A90" w:rsidRPr="00EE4722">
        <w:rPr>
          <w:rFonts w:cstheme="minorHAnsi"/>
          <w:bCs/>
          <w:iCs/>
          <w:lang w:val="en-US"/>
        </w:rPr>
        <w:t xml:space="preserve">contains information about medication exposure during the first trimester of pregnancy. </w:t>
      </w:r>
      <w:r w:rsidR="008F2B3E" w:rsidRPr="008C43FB">
        <w:rPr>
          <w:rFonts w:cstheme="minorHAnsi"/>
          <w:bCs/>
          <w:iCs/>
          <w:lang w:val="en-US"/>
        </w:rPr>
        <w:t>We included</w:t>
      </w:r>
      <w:r w:rsidR="00150A90" w:rsidRPr="008C43FB">
        <w:rPr>
          <w:rFonts w:cstheme="minorHAnsi"/>
          <w:bCs/>
          <w:iCs/>
          <w:lang w:val="en-US"/>
        </w:rPr>
        <w:t xml:space="preserve"> data from a population covering more than </w:t>
      </w:r>
      <w:r w:rsidR="004D0967" w:rsidRPr="008C43FB">
        <w:rPr>
          <w:rFonts w:cstheme="minorHAnsi"/>
          <w:bCs/>
          <w:iCs/>
          <w:lang w:val="en-US"/>
        </w:rPr>
        <w:t xml:space="preserve">12 </w:t>
      </w:r>
      <w:r w:rsidR="00150A90" w:rsidRPr="008C43FB">
        <w:rPr>
          <w:rFonts w:cstheme="minorHAnsi"/>
          <w:bCs/>
          <w:iCs/>
          <w:lang w:val="en-US"/>
        </w:rPr>
        <w:t>million births between 1995 and 20</w:t>
      </w:r>
      <w:r w:rsidR="00671E8A" w:rsidRPr="008C43FB">
        <w:rPr>
          <w:rFonts w:cstheme="minorHAnsi"/>
          <w:bCs/>
          <w:iCs/>
          <w:lang w:val="en-US"/>
        </w:rPr>
        <w:t>20</w:t>
      </w:r>
      <w:r w:rsidR="00150A90" w:rsidRPr="008C43FB">
        <w:rPr>
          <w:rFonts w:cstheme="minorHAnsi"/>
          <w:bCs/>
          <w:iCs/>
          <w:lang w:val="en-US"/>
        </w:rPr>
        <w:t xml:space="preserve">. The study population </w:t>
      </w:r>
      <w:r w:rsidR="008F2B3E" w:rsidRPr="008C43FB">
        <w:rPr>
          <w:rFonts w:cstheme="minorHAnsi"/>
          <w:bCs/>
          <w:iCs/>
          <w:lang w:val="en-US"/>
        </w:rPr>
        <w:t xml:space="preserve">comprised </w:t>
      </w:r>
      <w:r w:rsidR="00150A90" w:rsidRPr="008C43FB">
        <w:rPr>
          <w:rFonts w:cstheme="minorHAnsi"/>
          <w:bCs/>
          <w:iCs/>
          <w:lang w:val="en-US"/>
        </w:rPr>
        <w:t>all cases of major CA occurring in live births</w:t>
      </w:r>
      <w:r w:rsidR="003A588F" w:rsidRPr="008C43FB">
        <w:rPr>
          <w:rFonts w:cstheme="minorHAnsi"/>
          <w:bCs/>
          <w:iCs/>
          <w:lang w:val="en-US"/>
        </w:rPr>
        <w:t xml:space="preserve"> (LB)</w:t>
      </w:r>
      <w:r w:rsidR="00150A90" w:rsidRPr="008C43FB">
        <w:rPr>
          <w:rFonts w:cstheme="minorHAnsi"/>
          <w:bCs/>
          <w:iCs/>
          <w:lang w:val="en-US"/>
        </w:rPr>
        <w:t xml:space="preserve">, of </w:t>
      </w:r>
      <w:r w:rsidR="00FB68CB" w:rsidRPr="00F0212E">
        <w:rPr>
          <w:rFonts w:cstheme="minorHAnsi"/>
          <w:bCs/>
          <w:iCs/>
          <w:lang w:val="en-US"/>
        </w:rPr>
        <w:t>fetal deaths (FD)</w:t>
      </w:r>
      <w:r w:rsidR="009A02D9">
        <w:rPr>
          <w:rFonts w:cstheme="minorHAnsi"/>
          <w:bCs/>
          <w:iCs/>
          <w:lang w:val="en-US"/>
        </w:rPr>
        <w:t xml:space="preserve"> </w:t>
      </w:r>
      <w:r w:rsidR="00FB68CB" w:rsidRPr="00F0212E">
        <w:rPr>
          <w:rFonts w:cstheme="minorHAnsi"/>
          <w:bCs/>
          <w:iCs/>
          <w:lang w:val="en-US"/>
        </w:rPr>
        <w:t xml:space="preserve">at ≥ 20 completed weeks </w:t>
      </w:r>
      <w:r w:rsidR="00150A90" w:rsidRPr="00B763E2">
        <w:rPr>
          <w:rFonts w:cstheme="minorHAnsi"/>
          <w:bCs/>
          <w:iCs/>
          <w:lang w:val="en-US"/>
        </w:rPr>
        <w:t xml:space="preserve">gestation, and terminations of pregnancy following prenatal diagnosis of fetal anomaly (TOPFAs) at any gestational age. Most registries contributing to </w:t>
      </w:r>
      <w:r w:rsidR="00255C3E" w:rsidRPr="00B763E2">
        <w:rPr>
          <w:rFonts w:cstheme="minorHAnsi"/>
          <w:bCs/>
          <w:iCs/>
          <w:lang w:val="en-US"/>
        </w:rPr>
        <w:t xml:space="preserve">the </w:t>
      </w:r>
      <w:proofErr w:type="spellStart"/>
      <w:r w:rsidR="00255C3E" w:rsidRPr="008C43FB">
        <w:rPr>
          <w:rFonts w:cstheme="minorHAnsi"/>
          <w:bCs/>
          <w:iCs/>
          <w:lang w:val="en-US"/>
        </w:rPr>
        <w:t>EUROmediCAT</w:t>
      </w:r>
      <w:proofErr w:type="spellEnd"/>
      <w:r w:rsidR="00255C3E" w:rsidRPr="008C43FB">
        <w:rPr>
          <w:rFonts w:cstheme="minorHAnsi"/>
          <w:bCs/>
          <w:iCs/>
          <w:lang w:val="en-US"/>
        </w:rPr>
        <w:t xml:space="preserve"> central database </w:t>
      </w:r>
      <w:r w:rsidR="00150A90" w:rsidRPr="008C43FB">
        <w:rPr>
          <w:rFonts w:cstheme="minorHAnsi"/>
          <w:bCs/>
          <w:iCs/>
          <w:lang w:val="en-US"/>
        </w:rPr>
        <w:t xml:space="preserve">maintain records of </w:t>
      </w:r>
      <w:r w:rsidR="002C681A" w:rsidRPr="008C43FB">
        <w:rPr>
          <w:rFonts w:cstheme="minorHAnsi"/>
          <w:bCs/>
          <w:iCs/>
          <w:lang w:val="en-US"/>
        </w:rPr>
        <w:t>CA</w:t>
      </w:r>
      <w:r w:rsidR="00150A90" w:rsidRPr="008C43FB">
        <w:rPr>
          <w:rFonts w:cstheme="minorHAnsi"/>
          <w:bCs/>
          <w:iCs/>
          <w:lang w:val="en-US"/>
        </w:rPr>
        <w:t xml:space="preserve"> diagnosed up to at least 1 year after birth. All information regarding these cases is securely transmitted to the central database in an anonymized format</w:t>
      </w:r>
      <w:r w:rsidR="00902FCB" w:rsidRPr="008C43FB">
        <w:rPr>
          <w:rFonts w:cstheme="minorHAnsi"/>
          <w:bCs/>
          <w:iCs/>
          <w:lang w:val="en-US"/>
        </w:rPr>
        <w:t xml:space="preserve"> (</w:t>
      </w:r>
      <w:r w:rsidR="00150A90" w:rsidRPr="008C43FB">
        <w:rPr>
          <w:rStyle w:val="Lienhypertexte"/>
          <w:rFonts w:cstheme="minorHAnsi"/>
          <w:lang w:val="en-US"/>
        </w:rPr>
        <w:t>https://www.euromedicat.eu/data/databases</w:t>
      </w:r>
      <w:r w:rsidR="00150A90" w:rsidRPr="008C43FB">
        <w:rPr>
          <w:rFonts w:cstheme="minorHAnsi"/>
          <w:lang w:val="en-US"/>
        </w:rPr>
        <w:t>)</w:t>
      </w:r>
      <w:r w:rsidR="00150A90" w:rsidRPr="008C43FB">
        <w:rPr>
          <w:rFonts w:cstheme="minorHAnsi"/>
          <w:bCs/>
          <w:iCs/>
          <w:lang w:val="en-US"/>
        </w:rPr>
        <w:t>.</w:t>
      </w:r>
      <w:r w:rsidR="007B4627" w:rsidRPr="008C43FB">
        <w:rPr>
          <w:rFonts w:cstheme="minorHAnsi"/>
          <w:bCs/>
          <w:iCs/>
          <w:lang w:val="en-US"/>
        </w:rPr>
        <w:t xml:space="preserve"> </w:t>
      </w:r>
    </w:p>
    <w:p w14:paraId="57C80837" w14:textId="21645871" w:rsidR="007870E7" w:rsidRPr="008C43FB" w:rsidRDefault="000A2644" w:rsidP="007870E7">
      <w:pPr>
        <w:spacing w:after="0" w:line="360" w:lineRule="auto"/>
        <w:jc w:val="both"/>
        <w:rPr>
          <w:rFonts w:cstheme="minorHAnsi"/>
          <w:b/>
          <w:lang w:val="en-US"/>
        </w:rPr>
      </w:pPr>
      <w:r w:rsidRPr="008C43FB">
        <w:rPr>
          <w:rFonts w:cstheme="minorHAnsi"/>
          <w:lang w:val="en-US"/>
        </w:rPr>
        <w:t xml:space="preserve">Information on </w:t>
      </w:r>
      <w:r w:rsidR="00D73068" w:rsidRPr="008C43FB">
        <w:rPr>
          <w:rFonts w:cstheme="minorHAnsi"/>
          <w:lang w:val="en-US"/>
        </w:rPr>
        <w:t>medication</w:t>
      </w:r>
      <w:r w:rsidRPr="008C43FB">
        <w:rPr>
          <w:rFonts w:cstheme="minorHAnsi"/>
          <w:lang w:val="en-US"/>
        </w:rPr>
        <w:t xml:space="preserve"> exposure during the first trimester was primarily obtained from maternity records. Additional data sources included: infant medical records, general practitioner records, pregnancy passports, and maternal interviews conducted before or after birth. For some registries we were able to obtain information on prescription</w:t>
      </w:r>
      <w:r w:rsidR="009C3D0F" w:rsidRPr="008C43FB">
        <w:rPr>
          <w:rFonts w:cstheme="minorHAnsi"/>
          <w:lang w:val="en-US"/>
        </w:rPr>
        <w:t xml:space="preserve"> </w:t>
      </w:r>
      <w:r w:rsidR="00F46BBA" w:rsidRPr="008C43FB">
        <w:rPr>
          <w:rFonts w:cstheme="minorHAnsi"/>
          <w:lang w:val="en-US"/>
        </w:rPr>
        <w:t>or dispensing</w:t>
      </w:r>
      <w:r w:rsidR="007870E7" w:rsidRPr="008C43FB">
        <w:rPr>
          <w:rFonts w:cstheme="minorHAnsi"/>
          <w:lang w:val="en-US"/>
        </w:rPr>
        <w:t xml:space="preserve"> </w:t>
      </w:r>
      <w:r w:rsidRPr="008C43FB">
        <w:rPr>
          <w:rFonts w:cstheme="minorHAnsi"/>
          <w:lang w:val="en-US"/>
        </w:rPr>
        <w:t>records (</w:t>
      </w:r>
      <w:r w:rsidR="007870E7" w:rsidRPr="008C43FB">
        <w:rPr>
          <w:rFonts w:cstheme="minorHAnsi"/>
          <w:lang w:val="en-US"/>
        </w:rPr>
        <w:t>Valen</w:t>
      </w:r>
      <w:r w:rsidR="002816C2" w:rsidRPr="008C43FB">
        <w:rPr>
          <w:rFonts w:cstheme="minorHAnsi"/>
          <w:lang w:val="en-US"/>
        </w:rPr>
        <w:t>cian Region</w:t>
      </w:r>
      <w:r w:rsidR="004D2B2C" w:rsidRPr="008C43FB">
        <w:rPr>
          <w:rFonts w:cstheme="minorHAnsi"/>
          <w:lang w:val="en-US"/>
        </w:rPr>
        <w:t>, Emilia Romagna</w:t>
      </w:r>
      <w:r w:rsidRPr="008C43FB">
        <w:rPr>
          <w:rFonts w:cstheme="minorHAnsi"/>
          <w:lang w:val="en-US"/>
        </w:rPr>
        <w:t xml:space="preserve"> and Tuscany registries) and dispensing data (EFEMERIS health care database) during the first trimester of pregnancy</w:t>
      </w:r>
      <w:r w:rsidR="007870E7" w:rsidRPr="008C43FB">
        <w:rPr>
          <w:rFonts w:cstheme="minorHAnsi"/>
          <w:lang w:val="en-US"/>
        </w:rPr>
        <w:t xml:space="preserve">. </w:t>
      </w:r>
      <w:r w:rsidR="00F46BBA" w:rsidRPr="008C43FB">
        <w:rPr>
          <w:rFonts w:cstheme="minorHAnsi"/>
          <w:lang w:val="en-US"/>
        </w:rPr>
        <w:t xml:space="preserve">In addition, </w:t>
      </w:r>
      <w:r w:rsidR="00B1332C" w:rsidRPr="008C43FB">
        <w:rPr>
          <w:lang w:val="en-US"/>
        </w:rPr>
        <w:t>Northern Netherlands obtains information from the pharmacy (dispensing data) and combines this with a maternal questionnaire (actual use of medication from pharmacy and use of over the counter medications).</w:t>
      </w:r>
      <w:r w:rsidR="009B379D" w:rsidRPr="008C43FB">
        <w:rPr>
          <w:rFonts w:cstheme="minorHAnsi"/>
          <w:lang w:val="en-US"/>
        </w:rPr>
        <w:t xml:space="preserve"> </w:t>
      </w:r>
      <w:r w:rsidR="00616A66" w:rsidRPr="008C43FB">
        <w:rPr>
          <w:lang w:val="en-US"/>
        </w:rPr>
        <w:t>All medication exposures in the first trimester are recorded using the World Health Organization’s Anatomical Therapeutic Chemical classification system (ATC).</w:t>
      </w:r>
      <w:r w:rsidR="00890952" w:rsidRPr="008C43FB">
        <w:rPr>
          <w:lang w:val="en-US"/>
        </w:rPr>
        <w:t xml:space="preserve"> </w:t>
      </w:r>
    </w:p>
    <w:p w14:paraId="57C80838" w14:textId="77777777" w:rsidR="00150A90" w:rsidRPr="008C43FB" w:rsidRDefault="000A2644" w:rsidP="00687DF5">
      <w:pPr>
        <w:pStyle w:val="Titre2"/>
        <w:rPr>
          <w:lang w:val="en-US"/>
        </w:rPr>
      </w:pPr>
      <w:r w:rsidRPr="008C43FB">
        <w:rPr>
          <w:lang w:val="en-US"/>
        </w:rPr>
        <w:t>Study design</w:t>
      </w:r>
    </w:p>
    <w:p w14:paraId="57C80839" w14:textId="58DE99A6" w:rsidR="00373185" w:rsidRPr="008C43FB" w:rsidRDefault="000A2644" w:rsidP="00F24F2E">
      <w:pPr>
        <w:spacing w:after="0" w:line="360" w:lineRule="auto"/>
        <w:jc w:val="both"/>
        <w:rPr>
          <w:rFonts w:cstheme="minorHAnsi"/>
          <w:lang w:val="en-US"/>
        </w:rPr>
      </w:pPr>
      <w:r w:rsidRPr="00EE4722">
        <w:rPr>
          <w:rFonts w:cstheme="minorHAnsi"/>
          <w:bCs/>
          <w:iCs/>
          <w:lang w:val="en-US"/>
        </w:rPr>
        <w:t xml:space="preserve">We conducted a case-malformed-control study using the </w:t>
      </w:r>
      <w:proofErr w:type="spellStart"/>
      <w:r w:rsidRPr="00EE4722">
        <w:rPr>
          <w:rFonts w:cstheme="minorHAnsi"/>
          <w:bCs/>
          <w:iCs/>
          <w:lang w:val="en-US"/>
        </w:rPr>
        <w:t>EUROmediCAT</w:t>
      </w:r>
      <w:proofErr w:type="spellEnd"/>
      <w:r w:rsidRPr="00EE4722">
        <w:rPr>
          <w:rFonts w:cstheme="minorHAnsi"/>
          <w:bCs/>
          <w:iCs/>
          <w:lang w:val="en-US"/>
        </w:rPr>
        <w:t xml:space="preserve"> database.</w:t>
      </w:r>
      <w:r w:rsidRPr="00EE4722">
        <w:rPr>
          <w:rFonts w:cstheme="minorHAnsi"/>
          <w:lang w:val="en-US"/>
        </w:rPr>
        <w:t xml:space="preserve"> </w:t>
      </w:r>
      <w:r w:rsidR="00FA2A05" w:rsidRPr="00EE4722">
        <w:rPr>
          <w:rFonts w:cstheme="minorHAnsi"/>
          <w:lang w:val="en-US"/>
        </w:rPr>
        <w:t>Two main analyses were performed</w:t>
      </w:r>
      <w:r w:rsidR="00E83862" w:rsidRPr="00B763E2">
        <w:rPr>
          <w:rFonts w:cstheme="minorHAnsi"/>
          <w:lang w:val="en-US"/>
        </w:rPr>
        <w:t xml:space="preserve"> to explore</w:t>
      </w:r>
      <w:r w:rsidR="00EE4722" w:rsidRPr="00B763E2">
        <w:rPr>
          <w:rFonts w:cstheme="minorHAnsi"/>
          <w:lang w:val="en-US"/>
        </w:rPr>
        <w:t xml:space="preserve"> </w:t>
      </w:r>
      <w:r w:rsidR="00E83862" w:rsidRPr="008C43FB">
        <w:rPr>
          <w:rFonts w:cstheme="minorHAnsi"/>
          <w:lang w:val="en-US"/>
        </w:rPr>
        <w:t xml:space="preserve">potential signals associated with </w:t>
      </w:r>
      <w:r w:rsidR="00826B4C" w:rsidRPr="008C43FB">
        <w:rPr>
          <w:rFonts w:cstheme="minorHAnsi"/>
          <w:lang w:val="en-US"/>
        </w:rPr>
        <w:t xml:space="preserve">(1) </w:t>
      </w:r>
      <w:r w:rsidR="00E83862" w:rsidRPr="008C43FB">
        <w:rPr>
          <w:rFonts w:cstheme="minorHAnsi"/>
          <w:lang w:val="en-US"/>
        </w:rPr>
        <w:t xml:space="preserve">maternal MS and with </w:t>
      </w:r>
      <w:r w:rsidR="00826B4C" w:rsidRPr="008C43FB">
        <w:rPr>
          <w:rFonts w:cstheme="minorHAnsi"/>
          <w:lang w:val="en-US"/>
        </w:rPr>
        <w:t xml:space="preserve">(2) </w:t>
      </w:r>
      <w:r w:rsidR="00E83862" w:rsidRPr="008C43FB">
        <w:rPr>
          <w:rFonts w:cstheme="minorHAnsi"/>
          <w:lang w:val="en-US"/>
        </w:rPr>
        <w:t xml:space="preserve">exposure to </w:t>
      </w:r>
      <w:r w:rsidR="000B3983" w:rsidRPr="008C43FB">
        <w:rPr>
          <w:rFonts w:cstheme="minorHAnsi"/>
          <w:lang w:val="en-US"/>
        </w:rPr>
        <w:t xml:space="preserve">each </w:t>
      </w:r>
      <w:r w:rsidR="00E83862" w:rsidRPr="008C43FB">
        <w:rPr>
          <w:rFonts w:cstheme="minorHAnsi"/>
          <w:lang w:val="en-US"/>
        </w:rPr>
        <w:t xml:space="preserve">MS DMT in </w:t>
      </w:r>
      <w:r w:rsidR="00826B4C" w:rsidRPr="008C43FB">
        <w:rPr>
          <w:rFonts w:cstheme="minorHAnsi"/>
          <w:lang w:val="en-US"/>
        </w:rPr>
        <w:t>pregnancies</w:t>
      </w:r>
      <w:r w:rsidR="00E83862" w:rsidRPr="008C43FB">
        <w:rPr>
          <w:rFonts w:cstheme="minorHAnsi"/>
          <w:lang w:val="en-US"/>
        </w:rPr>
        <w:t xml:space="preserve"> with MS.</w:t>
      </w:r>
      <w:r w:rsidRPr="00EE4722">
        <w:rPr>
          <w:rFonts w:cstheme="minorHAnsi"/>
          <w:bCs/>
          <w:iCs/>
          <w:lang w:val="en-US"/>
        </w:rPr>
        <w:t xml:space="preserve"> </w:t>
      </w:r>
    </w:p>
    <w:p w14:paraId="57C8083A" w14:textId="2A20812E" w:rsidR="000B61D8" w:rsidRPr="008C43FB" w:rsidRDefault="000A2644" w:rsidP="00F24F2E">
      <w:pPr>
        <w:spacing w:after="0" w:line="360" w:lineRule="auto"/>
        <w:jc w:val="both"/>
        <w:rPr>
          <w:lang w:val="en-US"/>
        </w:rPr>
      </w:pPr>
      <w:r w:rsidRPr="008C43FB">
        <w:rPr>
          <w:rFonts w:cstheme="minorHAnsi"/>
          <w:lang w:val="en-US"/>
        </w:rPr>
        <w:t>For each analysis</w:t>
      </w:r>
      <w:r w:rsidR="00FF2C67" w:rsidRPr="008C43FB">
        <w:rPr>
          <w:rFonts w:cstheme="minorHAnsi"/>
          <w:lang w:val="en-US"/>
        </w:rPr>
        <w:t xml:space="preserve">, </w:t>
      </w:r>
      <w:r w:rsidRPr="008C43FB">
        <w:rPr>
          <w:rFonts w:cstheme="minorHAnsi"/>
          <w:lang w:val="en-US"/>
        </w:rPr>
        <w:t xml:space="preserve">a </w:t>
      </w:r>
      <w:r w:rsidR="00FF2C67" w:rsidRPr="008C43FB">
        <w:rPr>
          <w:rFonts w:cstheme="minorHAnsi"/>
          <w:lang w:val="en-US"/>
        </w:rPr>
        <w:t xml:space="preserve">single non-genetic EUROCAT subgroup of </w:t>
      </w:r>
      <w:r w:rsidR="001402FC" w:rsidRPr="008C43FB">
        <w:rPr>
          <w:rFonts w:cstheme="minorHAnsi"/>
          <w:lang w:val="en-US"/>
        </w:rPr>
        <w:t>CA</w:t>
      </w:r>
      <w:r w:rsidR="00DA2AB9" w:rsidRPr="008C43FB">
        <w:rPr>
          <w:rFonts w:cstheme="minorHAnsi"/>
          <w:lang w:val="en-US"/>
        </w:rPr>
        <w:t xml:space="preserve"> was</w:t>
      </w:r>
      <w:r w:rsidRPr="008C43FB">
        <w:rPr>
          <w:rFonts w:cstheme="minorHAnsi"/>
          <w:lang w:val="en-US"/>
        </w:rPr>
        <w:t xml:space="preserve"> considered </w:t>
      </w:r>
      <w:r w:rsidR="00FF2C67" w:rsidRPr="008C43FB">
        <w:rPr>
          <w:rFonts w:cstheme="minorHAnsi"/>
          <w:lang w:val="en-US"/>
        </w:rPr>
        <w:t>to be the “case group</w:t>
      </w:r>
      <w:r w:rsidR="00A438E1" w:rsidRPr="008C43FB">
        <w:rPr>
          <w:rFonts w:cstheme="minorHAnsi"/>
          <w:lang w:val="en-US"/>
        </w:rPr>
        <w:t>”</w:t>
      </w:r>
      <w:r w:rsidR="00FF2C67" w:rsidRPr="008C43FB">
        <w:rPr>
          <w:rFonts w:cstheme="minorHAnsi"/>
          <w:lang w:val="en-US"/>
        </w:rPr>
        <w:t xml:space="preserve">. </w:t>
      </w:r>
      <w:r w:rsidRPr="008C43FB">
        <w:rPr>
          <w:rFonts w:cstheme="minorHAnsi"/>
          <w:lang w:val="en-US"/>
        </w:rPr>
        <w:t>Two</w:t>
      </w:r>
      <w:r w:rsidR="00FF2C67" w:rsidRPr="008C43FB">
        <w:rPr>
          <w:rFonts w:cstheme="minorHAnsi"/>
          <w:lang w:val="en-US"/>
        </w:rPr>
        <w:t xml:space="preserve"> control groups</w:t>
      </w:r>
      <w:r w:rsidRPr="008C43FB">
        <w:rPr>
          <w:rFonts w:cstheme="minorHAnsi"/>
          <w:lang w:val="en-US"/>
        </w:rPr>
        <w:t xml:space="preserve"> were used</w:t>
      </w:r>
      <w:r w:rsidR="00FF2C67" w:rsidRPr="008C43FB">
        <w:rPr>
          <w:rFonts w:cstheme="minorHAnsi"/>
          <w:lang w:val="en-US"/>
        </w:rPr>
        <w:t>: (</w:t>
      </w:r>
      <w:proofErr w:type="spellStart"/>
      <w:r w:rsidR="00FF2C67" w:rsidRPr="008C43FB">
        <w:rPr>
          <w:rFonts w:cstheme="minorHAnsi"/>
          <w:lang w:val="en-US"/>
        </w:rPr>
        <w:t>i</w:t>
      </w:r>
      <w:proofErr w:type="spellEnd"/>
      <w:r w:rsidR="00FF2C67" w:rsidRPr="008C43FB">
        <w:rPr>
          <w:rFonts w:cstheme="minorHAnsi"/>
          <w:lang w:val="en-US"/>
        </w:rPr>
        <w:t>) “Non-genetic controls” were the remaining babies</w:t>
      </w:r>
      <w:r w:rsidRPr="008C43FB">
        <w:rPr>
          <w:rFonts w:cstheme="minorHAnsi"/>
          <w:lang w:val="en-US"/>
        </w:rPr>
        <w:t>/fetus</w:t>
      </w:r>
      <w:r w:rsidR="00764D1F" w:rsidRPr="008C43FB">
        <w:rPr>
          <w:rFonts w:cstheme="minorHAnsi"/>
          <w:lang w:val="en-US"/>
        </w:rPr>
        <w:t>es</w:t>
      </w:r>
      <w:r w:rsidR="007B4627" w:rsidRPr="008C43FB">
        <w:rPr>
          <w:rFonts w:cstheme="minorHAnsi"/>
          <w:lang w:val="en-US"/>
        </w:rPr>
        <w:t xml:space="preserve"> </w:t>
      </w:r>
      <w:r w:rsidR="00FF2C67" w:rsidRPr="008C43FB">
        <w:rPr>
          <w:rFonts w:cstheme="minorHAnsi"/>
          <w:lang w:val="en-US"/>
        </w:rPr>
        <w:t xml:space="preserve">with non-genetic </w:t>
      </w:r>
      <w:r w:rsidR="002C681A" w:rsidRPr="008C43FB">
        <w:rPr>
          <w:rFonts w:cstheme="minorHAnsi"/>
          <w:lang w:val="en-US"/>
        </w:rPr>
        <w:t>CA</w:t>
      </w:r>
      <w:r w:rsidR="00FF2C67" w:rsidRPr="008C43FB">
        <w:rPr>
          <w:rFonts w:cstheme="minorHAnsi"/>
          <w:lang w:val="en-US"/>
        </w:rPr>
        <w:t xml:space="preserve"> after exclusion of the specific </w:t>
      </w:r>
      <w:r w:rsidR="001402FC" w:rsidRPr="008C43FB">
        <w:rPr>
          <w:rFonts w:cstheme="minorHAnsi"/>
          <w:lang w:val="en-US"/>
        </w:rPr>
        <w:t>CA</w:t>
      </w:r>
      <w:r w:rsidR="00FF2C67" w:rsidRPr="008C43FB">
        <w:rPr>
          <w:rFonts w:cstheme="minorHAnsi"/>
          <w:lang w:val="en-US"/>
        </w:rPr>
        <w:t xml:space="preserve"> being </w:t>
      </w:r>
      <w:r w:rsidR="000C09A6" w:rsidRPr="008C43FB">
        <w:rPr>
          <w:rFonts w:cstheme="minorHAnsi"/>
          <w:lang w:val="en-US"/>
        </w:rPr>
        <w:t>analy</w:t>
      </w:r>
      <w:r w:rsidR="00EE4722" w:rsidRPr="008C43FB">
        <w:rPr>
          <w:rFonts w:cstheme="minorHAnsi"/>
          <w:lang w:val="en-US"/>
        </w:rPr>
        <w:t>z</w:t>
      </w:r>
      <w:r w:rsidR="000C09A6" w:rsidRPr="008C43FB">
        <w:rPr>
          <w:rFonts w:cstheme="minorHAnsi"/>
          <w:lang w:val="en-US"/>
        </w:rPr>
        <w:t xml:space="preserve">ed </w:t>
      </w:r>
      <w:r w:rsidR="00FF2C67" w:rsidRPr="008C43FB">
        <w:rPr>
          <w:rFonts w:cstheme="minorHAnsi"/>
          <w:lang w:val="en-US"/>
        </w:rPr>
        <w:t xml:space="preserve">as the case group and of any subgroup at a hierarchical level above; (ii) “Genetic controls” included </w:t>
      </w:r>
      <w:r w:rsidR="00FF2C67" w:rsidRPr="008C43FB">
        <w:rPr>
          <w:rFonts w:cstheme="minorHAnsi"/>
          <w:bCs/>
          <w:iCs/>
          <w:lang w:val="en-US"/>
        </w:rPr>
        <w:t>genetic syndromes, chromosomal anomalies and pathogenic copy number variations such as microdeletions</w:t>
      </w:r>
      <w:r w:rsidR="00FF2C67" w:rsidRPr="008C43FB">
        <w:rPr>
          <w:rFonts w:cstheme="minorHAnsi"/>
          <w:lang w:val="en-US"/>
        </w:rPr>
        <w:t xml:space="preserve">. Specifying a </w:t>
      </w:r>
      <w:r w:rsidR="00FF2C67" w:rsidRPr="008C43FB">
        <w:rPr>
          <w:rFonts w:cstheme="minorHAnsi"/>
          <w:lang w:val="en-US"/>
        </w:rPr>
        <w:lastRenderedPageBreak/>
        <w:t xml:space="preserve">genetic control group, which cannot have been caused by environmental teratogens, is a commonly used approach in studies conducted within the </w:t>
      </w:r>
      <w:proofErr w:type="spellStart"/>
      <w:r w:rsidR="00A31BF5" w:rsidRPr="008C43FB">
        <w:rPr>
          <w:lang w:val="en-US"/>
        </w:rPr>
        <w:t>EUROmediCAT</w:t>
      </w:r>
      <w:proofErr w:type="spellEnd"/>
      <w:r w:rsidR="00A31BF5" w:rsidRPr="008C43FB">
        <w:rPr>
          <w:lang w:val="en-US"/>
        </w:rPr>
        <w:t xml:space="preserve"> database </w:t>
      </w:r>
      <w:r w:rsidR="00611682" w:rsidRPr="008C43FB">
        <w:rPr>
          <w:rFonts w:cstheme="minorHAnsi"/>
          <w:lang w:val="en-US"/>
        </w:rPr>
        <w:t xml:space="preserve"> </w:t>
      </w:r>
      <w:r w:rsidR="00611682" w:rsidRPr="008C43FB">
        <w:rPr>
          <w:rFonts w:cstheme="minorHAnsi"/>
          <w:lang w:val="en-US"/>
        </w:rPr>
        <w:fldChar w:fldCharType="begin"/>
      </w:r>
      <w:r w:rsidR="003A626F" w:rsidRPr="008C43FB">
        <w:rPr>
          <w:rFonts w:cstheme="minorHAnsi"/>
          <w:lang w:val="en-US"/>
        </w:rPr>
        <w:instrText xml:space="preserve"> ADDIN ZOTERO_ITEM CSL_CITATION {"citationID":"VVji4MXX","properties":{"formattedCitation":"[28]","plainCitation":"[28]","noteIndex":0},"citationItems":[{"id":2972,"uris":["http://zotero.org/users/4535351/items/EH7Y2T36"],"itemData":{"id":2972,"type":"standard","title":"Instruction for the registration of congenital anomalies. EUROCAT Central Registry, University of Ulster. Available at: https://eu-rd-platform.jrc.ec.europa.eu/sites/default/files/JRC-EUROCAT-Full-Guide-1.4-version-15-Nov-2019.pdf","author":[{"literal":"EUROCAT Guide 1.4"}],"issued":{"date-parts":[["2013"]]}}}],"schema":"https://github.com/citation-style-language/schema/raw/master/csl-citation.json"} </w:instrText>
      </w:r>
      <w:r w:rsidR="00611682" w:rsidRPr="008C43FB">
        <w:rPr>
          <w:rFonts w:cstheme="minorHAnsi"/>
          <w:lang w:val="en-US"/>
        </w:rPr>
        <w:fldChar w:fldCharType="separate"/>
      </w:r>
      <w:r w:rsidR="003A626F" w:rsidRPr="008C43FB">
        <w:rPr>
          <w:rFonts w:ascii="Calibri" w:hAnsi="Calibri" w:cs="Calibri"/>
          <w:lang w:val="en-US"/>
        </w:rPr>
        <w:t>[28]</w:t>
      </w:r>
      <w:r w:rsidR="00611682" w:rsidRPr="008C43FB">
        <w:rPr>
          <w:rFonts w:cstheme="minorHAnsi"/>
          <w:lang w:val="en-US"/>
        </w:rPr>
        <w:fldChar w:fldCharType="end"/>
      </w:r>
      <w:r w:rsidR="007903DA" w:rsidRPr="008C43FB">
        <w:rPr>
          <w:rFonts w:cstheme="minorHAnsi"/>
          <w:lang w:val="en-US"/>
        </w:rPr>
        <w:t>.</w:t>
      </w:r>
      <w:r w:rsidR="00373185" w:rsidRPr="008C43FB">
        <w:rPr>
          <w:lang w:val="en-US"/>
        </w:rPr>
        <w:t xml:space="preserve"> </w:t>
      </w:r>
    </w:p>
    <w:p w14:paraId="57C8083B" w14:textId="65D81C3F" w:rsidR="00FE7709" w:rsidRPr="008C43FB" w:rsidRDefault="000A2644" w:rsidP="00F24F2E">
      <w:pPr>
        <w:spacing w:after="0" w:line="360" w:lineRule="auto"/>
        <w:jc w:val="both"/>
        <w:rPr>
          <w:rFonts w:cstheme="minorHAnsi"/>
          <w:lang w:val="en-US"/>
        </w:rPr>
      </w:pPr>
      <w:r w:rsidRPr="008C43FB">
        <w:rPr>
          <w:lang w:val="en-US"/>
        </w:rPr>
        <w:t>T</w:t>
      </w:r>
      <w:r w:rsidR="00373185" w:rsidRPr="008C43FB">
        <w:rPr>
          <w:lang w:val="en-US"/>
        </w:rPr>
        <w:t xml:space="preserve">o avoid confusion between case and control groups, the term “registrants” will refer to all major CA, while “cases” will refer specifically to the CA subgroup being </w:t>
      </w:r>
      <w:r w:rsidR="000C09A6" w:rsidRPr="008C43FB">
        <w:rPr>
          <w:lang w:val="en-US"/>
        </w:rPr>
        <w:t>analy</w:t>
      </w:r>
      <w:r w:rsidR="00EE4722" w:rsidRPr="008C43FB">
        <w:rPr>
          <w:lang w:val="en-US"/>
        </w:rPr>
        <w:t>z</w:t>
      </w:r>
      <w:r w:rsidR="000C09A6" w:rsidRPr="008C43FB">
        <w:rPr>
          <w:lang w:val="en-US"/>
        </w:rPr>
        <w:t>ed</w:t>
      </w:r>
      <w:r w:rsidR="00373185" w:rsidRPr="008C43FB">
        <w:rPr>
          <w:lang w:val="en-US"/>
        </w:rPr>
        <w:t>.</w:t>
      </w:r>
    </w:p>
    <w:p w14:paraId="57C8083C" w14:textId="77777777" w:rsidR="00373185" w:rsidRPr="008C43FB" w:rsidRDefault="000A2644" w:rsidP="00373185">
      <w:pPr>
        <w:pStyle w:val="Titre2"/>
        <w:rPr>
          <w:lang w:val="en-US"/>
        </w:rPr>
      </w:pPr>
      <w:bookmarkStart w:id="7" w:name="_Hlk124859559"/>
      <w:r w:rsidRPr="008C43FB">
        <w:rPr>
          <w:lang w:val="en-US"/>
        </w:rPr>
        <w:t>Data set exclusions</w:t>
      </w:r>
    </w:p>
    <w:p w14:paraId="57C8083D" w14:textId="2A9CF7F7" w:rsidR="00373185" w:rsidRPr="008C43FB" w:rsidRDefault="000A2644" w:rsidP="00373185">
      <w:pPr>
        <w:pStyle w:val="Corpsdetexte"/>
        <w:spacing w:line="360" w:lineRule="auto"/>
        <w:jc w:val="both"/>
        <w:rPr>
          <w:rFonts w:asciiTheme="minorHAnsi" w:eastAsia="Arial" w:hAnsiTheme="minorHAnsi" w:cstheme="minorHAnsi"/>
          <w:sz w:val="22"/>
          <w:szCs w:val="22"/>
          <w:lang w:val="en-US"/>
        </w:rPr>
      </w:pPr>
      <w:r w:rsidRPr="00EE4722">
        <w:rPr>
          <w:rFonts w:asciiTheme="minorHAnsi" w:eastAsia="Arial" w:hAnsiTheme="minorHAnsi" w:cstheme="minorHAnsi"/>
          <w:sz w:val="22"/>
          <w:szCs w:val="22"/>
          <w:lang w:val="en-US"/>
        </w:rPr>
        <w:t xml:space="preserve">Registrants were excluded if maternal use of known major teratogens during the first trimester of pregnancy was reported (n=569 registrants), using the </w:t>
      </w:r>
      <w:r w:rsidRPr="008C43FB">
        <w:rPr>
          <w:rFonts w:asciiTheme="minorHAnsi" w:eastAsia="Arial" w:hAnsiTheme="minorHAnsi" w:cstheme="minorHAnsi"/>
          <w:sz w:val="22"/>
          <w:szCs w:val="22"/>
          <w:lang w:val="en-US"/>
        </w:rPr>
        <w:t>ATC code</w:t>
      </w:r>
      <w:r w:rsidR="00812A3B" w:rsidRPr="008C43FB">
        <w:rPr>
          <w:rFonts w:asciiTheme="minorHAnsi" w:eastAsia="Arial" w:hAnsiTheme="minorHAnsi" w:cstheme="minorHAnsi"/>
          <w:sz w:val="22"/>
          <w:szCs w:val="22"/>
          <w:lang w:val="en-US"/>
        </w:rPr>
        <w:t>s</w:t>
      </w:r>
      <w:r w:rsidRPr="008C43FB">
        <w:rPr>
          <w:rFonts w:asciiTheme="minorHAnsi" w:eastAsia="Arial" w:hAnsiTheme="minorHAnsi" w:cstheme="minorHAnsi"/>
          <w:sz w:val="22"/>
          <w:szCs w:val="22"/>
          <w:lang w:val="en-US"/>
        </w:rPr>
        <w:t>: valproic acid (N03AG01), valpromide (N03AG02), retinoids for treatment of psoriasis (D05BB), retinoids for treatment of acne (D10BA), alitretinoin (D11AH04), mycophenolic acid (L04AA06), thalidomide (L04AX02), oral anticoagulants (B01AA), and antim</w:t>
      </w:r>
      <w:r w:rsidR="001814CD" w:rsidRPr="008C43FB">
        <w:rPr>
          <w:rFonts w:asciiTheme="minorHAnsi" w:eastAsia="Arial" w:hAnsiTheme="minorHAnsi" w:cstheme="minorHAnsi"/>
          <w:sz w:val="22"/>
          <w:szCs w:val="22"/>
          <w:lang w:val="en-US"/>
        </w:rPr>
        <w:t>yc</w:t>
      </w:r>
      <w:r w:rsidRPr="008C43FB">
        <w:rPr>
          <w:rFonts w:asciiTheme="minorHAnsi" w:eastAsia="Arial" w:hAnsiTheme="minorHAnsi" w:cstheme="minorHAnsi"/>
          <w:sz w:val="22"/>
          <w:szCs w:val="22"/>
          <w:lang w:val="en-US"/>
        </w:rPr>
        <w:t>otics (L01A, L01B, L01C). Also, registrants with only minor anomalies, including isolated hip dislocation anomalies (n=6,199 registrants) were excluded. For some registries specific exclusion were made:</w:t>
      </w:r>
    </w:p>
    <w:p w14:paraId="57C8083E" w14:textId="1EBC930A" w:rsidR="00373185" w:rsidRPr="008C43FB" w:rsidRDefault="000A2644" w:rsidP="00373185">
      <w:pPr>
        <w:pStyle w:val="Corpsdetexte"/>
        <w:numPr>
          <w:ilvl w:val="0"/>
          <w:numId w:val="5"/>
        </w:numPr>
        <w:spacing w:line="360" w:lineRule="auto"/>
        <w:jc w:val="both"/>
        <w:rPr>
          <w:rFonts w:asciiTheme="minorHAnsi" w:eastAsia="Arial" w:hAnsiTheme="minorHAnsi" w:cstheme="minorHAnsi"/>
          <w:sz w:val="22"/>
          <w:szCs w:val="22"/>
          <w:lang w:val="en-US"/>
        </w:rPr>
      </w:pPr>
      <w:r w:rsidRPr="008C43FB">
        <w:rPr>
          <w:rFonts w:asciiTheme="minorHAnsi" w:eastAsia="Arial" w:hAnsiTheme="minorHAnsi" w:cstheme="minorHAnsi"/>
          <w:sz w:val="22"/>
          <w:szCs w:val="22"/>
          <w:lang w:val="en-US"/>
        </w:rPr>
        <w:t xml:space="preserve">TOPFAs from the Emilia Romagna (n=2,121 registrants) and </w:t>
      </w:r>
      <w:r w:rsidR="00373185" w:rsidRPr="008C43FB">
        <w:rPr>
          <w:rFonts w:asciiTheme="minorHAnsi" w:eastAsia="Arial" w:hAnsiTheme="minorHAnsi" w:cstheme="minorHAnsi"/>
          <w:sz w:val="22"/>
          <w:szCs w:val="22"/>
          <w:lang w:val="en-US"/>
        </w:rPr>
        <w:t>Valenc</w:t>
      </w:r>
      <w:r w:rsidR="00852C74" w:rsidRPr="008C43FB">
        <w:rPr>
          <w:rFonts w:asciiTheme="minorHAnsi" w:eastAsia="Arial" w:hAnsiTheme="minorHAnsi" w:cstheme="minorHAnsi"/>
          <w:sz w:val="22"/>
          <w:szCs w:val="22"/>
          <w:lang w:val="en-US"/>
        </w:rPr>
        <w:t xml:space="preserve">ian </w:t>
      </w:r>
      <w:r w:rsidR="005E3B04" w:rsidRPr="008C43FB">
        <w:rPr>
          <w:rFonts w:asciiTheme="minorHAnsi" w:eastAsia="Arial" w:hAnsiTheme="minorHAnsi" w:cstheme="minorHAnsi"/>
          <w:sz w:val="22"/>
          <w:szCs w:val="22"/>
          <w:lang w:val="en-US"/>
        </w:rPr>
        <w:t>Region</w:t>
      </w:r>
      <w:r w:rsidR="00BD2345" w:rsidRPr="008C43FB">
        <w:rPr>
          <w:rFonts w:asciiTheme="minorHAnsi" w:eastAsia="Arial" w:hAnsiTheme="minorHAnsi" w:cstheme="minorHAnsi"/>
          <w:sz w:val="22"/>
          <w:szCs w:val="22"/>
          <w:lang w:val="en-US"/>
        </w:rPr>
        <w:t xml:space="preserve"> </w:t>
      </w:r>
      <w:r w:rsidRPr="008C43FB">
        <w:rPr>
          <w:rFonts w:asciiTheme="minorHAnsi" w:eastAsia="Arial" w:hAnsiTheme="minorHAnsi" w:cstheme="minorHAnsi"/>
          <w:sz w:val="22"/>
          <w:szCs w:val="22"/>
          <w:lang w:val="en-US"/>
        </w:rPr>
        <w:t xml:space="preserve">registry (n=2,037 registrants), </w:t>
      </w:r>
      <w:r w:rsidR="00D64E72" w:rsidRPr="008C43FB">
        <w:rPr>
          <w:rFonts w:asciiTheme="minorHAnsi" w:eastAsia="Arial" w:hAnsiTheme="minorHAnsi" w:cstheme="minorHAnsi"/>
          <w:sz w:val="22"/>
          <w:szCs w:val="22"/>
          <w:lang w:val="en-US"/>
        </w:rPr>
        <w:t>as it was not possible to link medications data to women having TOPFAs due to privacy issue</w:t>
      </w:r>
      <w:r w:rsidR="002D6F3B" w:rsidRPr="008C43FB">
        <w:rPr>
          <w:rFonts w:asciiTheme="minorHAnsi" w:eastAsia="Arial" w:hAnsiTheme="minorHAnsi" w:cstheme="minorHAnsi"/>
          <w:sz w:val="22"/>
          <w:szCs w:val="22"/>
          <w:lang w:val="en-US"/>
        </w:rPr>
        <w:t>s</w:t>
      </w:r>
      <w:r w:rsidR="00D64E72" w:rsidRPr="008C43FB">
        <w:rPr>
          <w:rFonts w:asciiTheme="minorHAnsi" w:eastAsia="Arial" w:hAnsiTheme="minorHAnsi" w:cstheme="minorHAnsi"/>
          <w:sz w:val="22"/>
          <w:szCs w:val="22"/>
          <w:lang w:val="en-US"/>
        </w:rPr>
        <w:t>;</w:t>
      </w:r>
    </w:p>
    <w:p w14:paraId="57C8083F" w14:textId="77777777" w:rsidR="00373185" w:rsidRPr="008C43FB" w:rsidRDefault="000A2644" w:rsidP="00373185">
      <w:pPr>
        <w:pStyle w:val="Corpsdetexte"/>
        <w:numPr>
          <w:ilvl w:val="0"/>
          <w:numId w:val="5"/>
        </w:numPr>
        <w:spacing w:line="360" w:lineRule="auto"/>
        <w:jc w:val="both"/>
        <w:rPr>
          <w:rFonts w:asciiTheme="minorHAnsi" w:eastAsia="Arial" w:hAnsiTheme="minorHAnsi" w:cstheme="minorHAnsi"/>
          <w:sz w:val="22"/>
          <w:szCs w:val="22"/>
          <w:lang w:val="en-US"/>
        </w:rPr>
      </w:pPr>
      <w:r w:rsidRPr="008C43FB">
        <w:rPr>
          <w:rFonts w:asciiTheme="minorHAnsi" w:eastAsia="Arial" w:hAnsiTheme="minorHAnsi" w:cstheme="minorHAnsi"/>
          <w:sz w:val="22"/>
          <w:szCs w:val="22"/>
          <w:lang w:val="en-US"/>
        </w:rPr>
        <w:t>Years from 1995-2002 and 2014-2020 in the Tuscany registry, as prescription data were only available from 2003-2013 (n= 8,622 registrants);</w:t>
      </w:r>
    </w:p>
    <w:p w14:paraId="57C80840" w14:textId="42FC85E4" w:rsidR="00373185" w:rsidRPr="008C43FB" w:rsidRDefault="000A2644" w:rsidP="00373185">
      <w:pPr>
        <w:pStyle w:val="Paragraphedeliste"/>
        <w:numPr>
          <w:ilvl w:val="0"/>
          <w:numId w:val="2"/>
        </w:numPr>
        <w:spacing w:before="0" w:after="0"/>
        <w:ind w:left="680" w:hanging="340"/>
        <w:rPr>
          <w:rFonts w:asciiTheme="minorHAnsi" w:hAnsiTheme="minorHAnsi" w:cstheme="minorHAnsi"/>
          <w:lang w:val="en-US"/>
        </w:rPr>
      </w:pPr>
      <w:r w:rsidRPr="008C43FB">
        <w:rPr>
          <w:rFonts w:asciiTheme="minorHAnsi" w:hAnsiTheme="minorHAnsi" w:cstheme="minorHAnsi"/>
          <w:lang w:val="en-US"/>
        </w:rPr>
        <w:t>Years without registrants</w:t>
      </w:r>
      <w:r w:rsidR="00F109D5" w:rsidRPr="008C43FB">
        <w:rPr>
          <w:rFonts w:asciiTheme="minorHAnsi" w:hAnsiTheme="minorHAnsi" w:cstheme="minorHAnsi"/>
          <w:lang w:val="en-US"/>
        </w:rPr>
        <w:t xml:space="preserve"> with maternal MS</w:t>
      </w:r>
      <w:r w:rsidRPr="008C43FB">
        <w:rPr>
          <w:rFonts w:asciiTheme="minorHAnsi" w:hAnsiTheme="minorHAnsi" w:cstheme="minorHAnsi"/>
          <w:lang w:val="en-US"/>
        </w:rPr>
        <w:t xml:space="preserve"> in any registry (1995-1997</w:t>
      </w:r>
      <w:r w:rsidR="00085E16" w:rsidRPr="008C43FB">
        <w:rPr>
          <w:rFonts w:asciiTheme="minorHAnsi" w:hAnsiTheme="minorHAnsi" w:cstheme="minorHAnsi"/>
          <w:lang w:val="en-US"/>
        </w:rPr>
        <w:t xml:space="preserve">; </w:t>
      </w:r>
      <w:r w:rsidRPr="008C43FB">
        <w:rPr>
          <w:rFonts w:asciiTheme="minorHAnsi" w:hAnsiTheme="minorHAnsi" w:cstheme="minorHAnsi"/>
          <w:lang w:val="en-US"/>
        </w:rPr>
        <w:t xml:space="preserve">n=3,415 </w:t>
      </w:r>
      <w:r w:rsidRPr="008C43FB">
        <w:rPr>
          <w:rFonts w:asciiTheme="minorHAnsi" w:eastAsia="Arial" w:hAnsiTheme="minorHAnsi" w:cstheme="minorHAnsi"/>
          <w:lang w:val="en-US"/>
        </w:rPr>
        <w:t>registrants)</w:t>
      </w:r>
    </w:p>
    <w:p w14:paraId="57C80841" w14:textId="735C61EF" w:rsidR="00373185" w:rsidRPr="00EE4722" w:rsidRDefault="000A2644" w:rsidP="00373185">
      <w:pPr>
        <w:pStyle w:val="Paragraphedeliste"/>
        <w:numPr>
          <w:ilvl w:val="0"/>
          <w:numId w:val="2"/>
        </w:numPr>
        <w:spacing w:before="0" w:after="0"/>
        <w:ind w:left="680" w:hanging="340"/>
        <w:rPr>
          <w:rFonts w:cstheme="minorHAnsi"/>
          <w:b/>
          <w:lang w:val="en-US"/>
        </w:rPr>
      </w:pPr>
      <w:bookmarkStart w:id="8" w:name="_Hlk227940024"/>
      <w:r w:rsidRPr="008C43FB">
        <w:rPr>
          <w:rFonts w:asciiTheme="minorHAnsi" w:hAnsiTheme="minorHAnsi" w:cstheme="minorHAnsi"/>
          <w:lang w:val="en-US"/>
        </w:rPr>
        <w:t xml:space="preserve">Registry without </w:t>
      </w:r>
      <w:r w:rsidR="00F109D5" w:rsidRPr="008C43FB">
        <w:rPr>
          <w:rFonts w:asciiTheme="minorHAnsi" w:hAnsiTheme="minorHAnsi" w:cstheme="minorHAnsi"/>
          <w:lang w:val="en-US"/>
        </w:rPr>
        <w:t xml:space="preserve">any </w:t>
      </w:r>
      <w:r w:rsidRPr="008C43FB">
        <w:rPr>
          <w:rFonts w:asciiTheme="minorHAnsi" w:hAnsiTheme="minorHAnsi" w:cstheme="minorHAnsi"/>
          <w:lang w:val="en-US"/>
        </w:rPr>
        <w:t xml:space="preserve">registrant </w:t>
      </w:r>
      <w:r w:rsidR="00F109D5" w:rsidRPr="008C43FB">
        <w:rPr>
          <w:rFonts w:asciiTheme="minorHAnsi" w:hAnsiTheme="minorHAnsi" w:cstheme="minorHAnsi"/>
          <w:lang w:val="en-US"/>
        </w:rPr>
        <w:t xml:space="preserve">with maternal MS </w:t>
      </w:r>
      <w:r w:rsidRPr="008C43FB">
        <w:rPr>
          <w:rFonts w:asciiTheme="minorHAnsi" w:hAnsiTheme="minorHAnsi" w:cstheme="minorHAnsi"/>
          <w:lang w:val="en-US"/>
        </w:rPr>
        <w:t>(</w:t>
      </w:r>
      <w:proofErr w:type="spellStart"/>
      <w:r w:rsidRPr="008C43FB">
        <w:rPr>
          <w:rFonts w:asciiTheme="minorHAnsi" w:hAnsiTheme="minorHAnsi" w:cstheme="minorHAnsi"/>
          <w:lang w:val="en-US"/>
        </w:rPr>
        <w:t>Wielkopolska</w:t>
      </w:r>
      <w:proofErr w:type="spellEnd"/>
      <w:r w:rsidRPr="008C43FB">
        <w:rPr>
          <w:rFonts w:asciiTheme="minorHAnsi" w:hAnsiTheme="minorHAnsi" w:cstheme="minorHAnsi"/>
          <w:lang w:val="en-US"/>
        </w:rPr>
        <w:t>, Poland</w:t>
      </w:r>
      <w:r w:rsidR="00085E16" w:rsidRPr="008C43FB">
        <w:rPr>
          <w:rFonts w:asciiTheme="minorHAnsi" w:hAnsiTheme="minorHAnsi" w:cstheme="minorHAnsi"/>
          <w:lang w:val="en-US"/>
        </w:rPr>
        <w:t xml:space="preserve">; </w:t>
      </w:r>
      <w:r w:rsidRPr="008C43FB">
        <w:rPr>
          <w:rFonts w:asciiTheme="minorHAnsi" w:hAnsiTheme="minorHAnsi" w:cstheme="minorHAnsi"/>
          <w:lang w:val="en-US"/>
        </w:rPr>
        <w:t xml:space="preserve">n=20,960 </w:t>
      </w:r>
      <w:r w:rsidRPr="008C43FB">
        <w:rPr>
          <w:rFonts w:asciiTheme="minorHAnsi" w:eastAsia="Arial" w:hAnsiTheme="minorHAnsi" w:cstheme="minorHAnsi"/>
          <w:lang w:val="en-US"/>
        </w:rPr>
        <w:t>registrants</w:t>
      </w:r>
      <w:r w:rsidRPr="008C43FB">
        <w:rPr>
          <w:rFonts w:asciiTheme="minorHAnsi" w:hAnsiTheme="minorHAnsi" w:cstheme="minorHAnsi"/>
          <w:lang w:val="en-US"/>
        </w:rPr>
        <w:t>)</w:t>
      </w:r>
    </w:p>
    <w:bookmarkEnd w:id="8"/>
    <w:p w14:paraId="57C80842" w14:textId="77777777" w:rsidR="00EF0821" w:rsidRPr="008C43FB" w:rsidRDefault="000A2644" w:rsidP="00687DF5">
      <w:pPr>
        <w:pStyle w:val="Titre2"/>
        <w:rPr>
          <w:lang w:val="en-US"/>
        </w:rPr>
      </w:pPr>
      <w:r w:rsidRPr="008C43FB">
        <w:rPr>
          <w:lang w:val="en-US"/>
        </w:rPr>
        <w:t>Exposure definition</w:t>
      </w:r>
    </w:p>
    <w:p w14:paraId="57C80843" w14:textId="77777777" w:rsidR="00684393" w:rsidRPr="008C43FB" w:rsidRDefault="000A2644" w:rsidP="00A46DFC">
      <w:pPr>
        <w:pStyle w:val="Titre2"/>
        <w:numPr>
          <w:ilvl w:val="2"/>
          <w:numId w:val="12"/>
        </w:numPr>
        <w:rPr>
          <w:lang w:val="en-US"/>
        </w:rPr>
      </w:pPr>
      <w:r w:rsidRPr="008C43FB">
        <w:rPr>
          <w:lang w:val="en-US"/>
        </w:rPr>
        <w:t>M</w:t>
      </w:r>
      <w:r w:rsidR="008C7F9F" w:rsidRPr="008C43FB">
        <w:rPr>
          <w:lang w:val="en-US"/>
        </w:rPr>
        <w:t>aternal MS</w:t>
      </w:r>
    </w:p>
    <w:p w14:paraId="57C80844" w14:textId="4CEF727C" w:rsidR="006D052E" w:rsidRPr="008C43FB" w:rsidRDefault="000A2644" w:rsidP="00547040">
      <w:pPr>
        <w:spacing w:after="0" w:line="360" w:lineRule="auto"/>
        <w:jc w:val="both"/>
        <w:rPr>
          <w:rFonts w:cstheme="minorHAnsi"/>
          <w:lang w:val="en-US"/>
        </w:rPr>
      </w:pPr>
      <w:r w:rsidRPr="00EE4722">
        <w:rPr>
          <w:rFonts w:cstheme="minorHAnsi"/>
          <w:lang w:val="en-US"/>
        </w:rPr>
        <w:t>Registrants</w:t>
      </w:r>
      <w:r w:rsidRPr="008C43FB">
        <w:rPr>
          <w:rFonts w:cstheme="minorHAnsi"/>
          <w:lang w:val="en-US"/>
        </w:rPr>
        <w:t xml:space="preserve"> were considered </w:t>
      </w:r>
      <w:r w:rsidR="00734501" w:rsidRPr="008C43FB">
        <w:rPr>
          <w:rFonts w:cstheme="minorHAnsi"/>
          <w:lang w:val="en-US"/>
        </w:rPr>
        <w:t xml:space="preserve">exposed </w:t>
      </w:r>
      <w:r w:rsidRPr="008C43FB">
        <w:rPr>
          <w:rFonts w:cstheme="minorHAnsi"/>
          <w:lang w:val="en-US"/>
        </w:rPr>
        <w:t xml:space="preserve">if the mother had </w:t>
      </w:r>
      <w:r w:rsidR="00546ED8" w:rsidRPr="008C43FB">
        <w:rPr>
          <w:rFonts w:cstheme="minorHAnsi"/>
          <w:lang w:val="en-US"/>
        </w:rPr>
        <w:t>(</w:t>
      </w:r>
      <w:proofErr w:type="spellStart"/>
      <w:r w:rsidR="00546ED8" w:rsidRPr="008C43FB">
        <w:rPr>
          <w:rFonts w:cstheme="minorHAnsi"/>
          <w:lang w:val="en-US"/>
        </w:rPr>
        <w:t>i</w:t>
      </w:r>
      <w:proofErr w:type="spellEnd"/>
      <w:r w:rsidR="00546ED8" w:rsidRPr="008C43FB">
        <w:rPr>
          <w:rFonts w:cstheme="minorHAnsi"/>
          <w:lang w:val="en-US"/>
        </w:rPr>
        <w:t xml:space="preserve">) </w:t>
      </w:r>
      <w:r w:rsidR="007903DA" w:rsidRPr="008C43FB">
        <w:rPr>
          <w:rFonts w:cstheme="minorHAnsi"/>
          <w:lang w:val="en-US"/>
        </w:rPr>
        <w:t>a</w:t>
      </w:r>
      <w:r w:rsidR="00B63279" w:rsidRPr="008C43FB">
        <w:rPr>
          <w:rFonts w:cstheme="minorHAnsi"/>
          <w:lang w:val="en-US"/>
        </w:rPr>
        <w:t>n</w:t>
      </w:r>
      <w:r w:rsidRPr="008C43FB">
        <w:rPr>
          <w:rFonts w:cstheme="minorHAnsi"/>
          <w:lang w:val="en-US"/>
        </w:rPr>
        <w:t xml:space="preserve"> MS diagnosis recorded with ICD-10 code G35 or ICD-9 code 340</w:t>
      </w:r>
      <w:r w:rsidR="00D62179" w:rsidRPr="008C43FB">
        <w:rPr>
          <w:rFonts w:cstheme="minorHAnsi"/>
          <w:b/>
          <w:lang w:val="en-US"/>
        </w:rPr>
        <w:t xml:space="preserve">, </w:t>
      </w:r>
      <w:r w:rsidR="00D62179" w:rsidRPr="008C43FB">
        <w:rPr>
          <w:rFonts w:cstheme="minorHAnsi"/>
          <w:lang w:val="en-US"/>
        </w:rPr>
        <w:t xml:space="preserve">either before or during pregnancy, or </w:t>
      </w:r>
      <w:r w:rsidR="00546ED8" w:rsidRPr="008C43FB">
        <w:rPr>
          <w:rFonts w:cstheme="minorHAnsi"/>
          <w:lang w:val="en-US"/>
        </w:rPr>
        <w:t xml:space="preserve">(ii) </w:t>
      </w:r>
      <w:r w:rsidR="00D62179" w:rsidRPr="008C43FB">
        <w:rPr>
          <w:rFonts w:cstheme="minorHAnsi"/>
          <w:lang w:val="en-US"/>
        </w:rPr>
        <w:t>if the use of a</w:t>
      </w:r>
      <w:r w:rsidR="00546ED8" w:rsidRPr="008C43FB">
        <w:rPr>
          <w:rFonts w:cstheme="minorHAnsi"/>
          <w:lang w:val="en-US"/>
        </w:rPr>
        <w:t>n MS</w:t>
      </w:r>
      <w:r w:rsidR="000B3983" w:rsidRPr="008C43FB">
        <w:rPr>
          <w:rFonts w:cstheme="minorHAnsi"/>
          <w:lang w:val="en-US"/>
        </w:rPr>
        <w:t>-</w:t>
      </w:r>
      <w:r w:rsidR="00D62179" w:rsidRPr="008C43FB">
        <w:rPr>
          <w:rFonts w:cstheme="minorHAnsi"/>
          <w:lang w:val="en-US"/>
        </w:rPr>
        <w:t>specific DMT</w:t>
      </w:r>
      <w:r w:rsidR="00053370" w:rsidRPr="008C43FB">
        <w:rPr>
          <w:rFonts w:cstheme="minorHAnsi"/>
          <w:lang w:val="en-US"/>
        </w:rPr>
        <w:t xml:space="preserve"> </w:t>
      </w:r>
      <w:r w:rsidR="000B3983" w:rsidRPr="008C43FB">
        <w:rPr>
          <w:rFonts w:cstheme="minorHAnsi"/>
          <w:lang w:val="en-US"/>
        </w:rPr>
        <w:t>(</w:t>
      </w:r>
      <w:r w:rsidR="00053370" w:rsidRPr="008C43FB">
        <w:rPr>
          <w:rFonts w:cstheme="minorHAnsi"/>
          <w:lang w:val="en-US"/>
        </w:rPr>
        <w:t>i</w:t>
      </w:r>
      <w:r w:rsidR="009F7675" w:rsidRPr="008C43FB">
        <w:rPr>
          <w:rFonts w:cstheme="minorHAnsi"/>
          <w:lang w:val="en-US"/>
        </w:rPr>
        <w:t>.</w:t>
      </w:r>
      <w:r w:rsidR="00053370" w:rsidRPr="008C43FB">
        <w:rPr>
          <w:rFonts w:cstheme="minorHAnsi"/>
          <w:lang w:val="en-US"/>
        </w:rPr>
        <w:t>e. DMTs indicated only for MS</w:t>
      </w:r>
      <w:r w:rsidR="000B3983" w:rsidRPr="008C43FB">
        <w:rPr>
          <w:rFonts w:cstheme="minorHAnsi"/>
          <w:lang w:val="en-US"/>
        </w:rPr>
        <w:t>)</w:t>
      </w:r>
      <w:r w:rsidR="00053370" w:rsidRPr="008C43FB">
        <w:rPr>
          <w:rFonts w:cstheme="minorHAnsi"/>
          <w:lang w:val="en-US"/>
        </w:rPr>
        <w:t xml:space="preserve"> </w:t>
      </w:r>
      <w:r w:rsidR="0090747C" w:rsidRPr="008C43FB">
        <w:rPr>
          <w:rFonts w:cstheme="minorHAnsi"/>
          <w:lang w:val="en-US"/>
        </w:rPr>
        <w:t>was recorded</w:t>
      </w:r>
      <w:r w:rsidR="00D62179" w:rsidRPr="008C43FB">
        <w:rPr>
          <w:rFonts w:cstheme="minorHAnsi"/>
          <w:lang w:val="en-US"/>
        </w:rPr>
        <w:t xml:space="preserve"> during the first trimester. </w:t>
      </w:r>
      <w:r w:rsidR="000B3983" w:rsidRPr="008C43FB">
        <w:rPr>
          <w:rFonts w:cstheme="minorHAnsi"/>
          <w:lang w:val="en-US"/>
        </w:rPr>
        <w:t xml:space="preserve">MS-specific </w:t>
      </w:r>
      <w:r w:rsidR="00D62179" w:rsidRPr="008C43FB">
        <w:rPr>
          <w:rFonts w:cstheme="minorHAnsi"/>
          <w:lang w:val="en-US"/>
        </w:rPr>
        <w:t xml:space="preserve">DMTs </w:t>
      </w:r>
      <w:r w:rsidR="003B723C" w:rsidRPr="008C43FB">
        <w:rPr>
          <w:rFonts w:cstheme="minorHAnsi"/>
          <w:lang w:val="en-US"/>
        </w:rPr>
        <w:t xml:space="preserve">and the corresponding </w:t>
      </w:r>
      <w:r w:rsidR="00D62179" w:rsidRPr="008C43FB">
        <w:rPr>
          <w:rFonts w:cstheme="minorHAnsi"/>
          <w:lang w:val="en-US"/>
        </w:rPr>
        <w:t>ATC codes used</w:t>
      </w:r>
      <w:r w:rsidR="003B723C" w:rsidRPr="008C43FB">
        <w:rPr>
          <w:rFonts w:cstheme="minorHAnsi"/>
          <w:lang w:val="en-US"/>
        </w:rPr>
        <w:t xml:space="preserve"> are listed in Supplementary table 2.</w:t>
      </w:r>
    </w:p>
    <w:p w14:paraId="57C80845" w14:textId="77777777" w:rsidR="00452DF2" w:rsidRPr="008C43FB" w:rsidRDefault="000A2644" w:rsidP="00A46DFC">
      <w:pPr>
        <w:pStyle w:val="Titre2"/>
        <w:numPr>
          <w:ilvl w:val="2"/>
          <w:numId w:val="12"/>
        </w:numPr>
        <w:rPr>
          <w:lang w:val="en-US"/>
        </w:rPr>
      </w:pPr>
      <w:r w:rsidRPr="008C43FB">
        <w:rPr>
          <w:lang w:val="en-US"/>
        </w:rPr>
        <w:t>Exposure to MS DMTs</w:t>
      </w:r>
    </w:p>
    <w:p w14:paraId="57C80846" w14:textId="1907CB54" w:rsidR="00452DF2" w:rsidRPr="008C43FB" w:rsidRDefault="000A2644" w:rsidP="00547040">
      <w:pPr>
        <w:spacing w:after="0" w:line="360" w:lineRule="auto"/>
        <w:jc w:val="both"/>
        <w:rPr>
          <w:rFonts w:cstheme="minorHAnsi"/>
          <w:lang w:val="en-US"/>
        </w:rPr>
      </w:pPr>
      <w:r w:rsidRPr="008C43FB">
        <w:rPr>
          <w:rFonts w:cstheme="minorHAnsi"/>
          <w:lang w:val="en-US"/>
        </w:rPr>
        <w:t xml:space="preserve">Exposure to MS DMTs was defined as use or dispensing of </w:t>
      </w:r>
      <w:r w:rsidR="00807E27" w:rsidRPr="008C43FB">
        <w:rPr>
          <w:rFonts w:cstheme="minorHAnsi"/>
          <w:lang w:val="en-US"/>
        </w:rPr>
        <w:t xml:space="preserve">DMTs indicated for </w:t>
      </w:r>
      <w:r w:rsidR="00581CD9" w:rsidRPr="008C43FB">
        <w:rPr>
          <w:rFonts w:cstheme="minorHAnsi"/>
          <w:lang w:val="en-US"/>
        </w:rPr>
        <w:t xml:space="preserve">the treatment of </w:t>
      </w:r>
      <w:r w:rsidR="00807E27" w:rsidRPr="008C43FB">
        <w:rPr>
          <w:rFonts w:cstheme="minorHAnsi"/>
          <w:lang w:val="en-US"/>
        </w:rPr>
        <w:t>MS</w:t>
      </w:r>
      <w:r w:rsidR="005F0722" w:rsidRPr="008C43FB">
        <w:rPr>
          <w:rFonts w:cstheme="minorHAnsi"/>
          <w:lang w:val="en-US"/>
        </w:rPr>
        <w:t>,</w:t>
      </w:r>
      <w:r w:rsidRPr="008C43FB">
        <w:rPr>
          <w:rFonts w:cstheme="minorHAnsi"/>
          <w:lang w:val="en-US"/>
        </w:rPr>
        <w:t xml:space="preserve"> during the first trimester of pregnancy (from the first day of the last menstrual period to the end of gestational week 12). </w:t>
      </w:r>
      <w:bookmarkStart w:id="9" w:name="_Hlk176945550"/>
      <w:r w:rsidR="00581CD9" w:rsidRPr="008C43FB">
        <w:rPr>
          <w:rFonts w:cstheme="minorHAnsi"/>
          <w:lang w:val="en-US"/>
        </w:rPr>
        <w:t>We</w:t>
      </w:r>
      <w:r w:rsidRPr="008C43FB">
        <w:rPr>
          <w:rFonts w:cstheme="minorHAnsi"/>
          <w:lang w:val="en-US"/>
        </w:rPr>
        <w:t xml:space="preserve"> include</w:t>
      </w:r>
      <w:r w:rsidR="00581CD9" w:rsidRPr="008C43FB">
        <w:rPr>
          <w:rFonts w:cstheme="minorHAnsi"/>
          <w:lang w:val="en-US"/>
        </w:rPr>
        <w:t>d</w:t>
      </w:r>
      <w:r w:rsidRPr="008C43FB">
        <w:rPr>
          <w:rFonts w:cstheme="minorHAnsi"/>
          <w:lang w:val="en-US"/>
        </w:rPr>
        <w:t xml:space="preserve"> the </w:t>
      </w:r>
      <w:r w:rsidR="00807E27" w:rsidRPr="008C43FB">
        <w:rPr>
          <w:rFonts w:cstheme="minorHAnsi"/>
          <w:lang w:val="en-US"/>
        </w:rPr>
        <w:t xml:space="preserve">DMTs indicated only for MS (MS-specific DMTs) and </w:t>
      </w:r>
      <w:r w:rsidR="00D73068" w:rsidRPr="008C43FB">
        <w:rPr>
          <w:rFonts w:cstheme="minorHAnsi"/>
          <w:lang w:val="en-US"/>
        </w:rPr>
        <w:t>those</w:t>
      </w:r>
      <w:r w:rsidR="00807E27" w:rsidRPr="008C43FB">
        <w:rPr>
          <w:rFonts w:cstheme="minorHAnsi"/>
          <w:lang w:val="en-US"/>
        </w:rPr>
        <w:t xml:space="preserve"> indicated for MS and other diseases</w:t>
      </w:r>
      <w:r w:rsidR="005F0722" w:rsidRPr="008C43FB">
        <w:rPr>
          <w:rFonts w:cstheme="minorHAnsi"/>
          <w:lang w:val="en-US"/>
        </w:rPr>
        <w:t xml:space="preserve"> (non-specific DMTs)</w:t>
      </w:r>
      <w:r w:rsidRPr="008C43FB">
        <w:rPr>
          <w:rFonts w:cstheme="minorHAnsi"/>
          <w:lang w:val="en-US"/>
        </w:rPr>
        <w:t xml:space="preserve">. </w:t>
      </w:r>
      <w:r w:rsidR="00BB4915" w:rsidRPr="008C43FB">
        <w:rPr>
          <w:rFonts w:cstheme="minorHAnsi"/>
          <w:lang w:val="en-US"/>
        </w:rPr>
        <w:t xml:space="preserve">These DMTs and the corresponding ATC </w:t>
      </w:r>
      <w:r w:rsidR="00807E27" w:rsidRPr="008C43FB">
        <w:rPr>
          <w:rFonts w:cstheme="minorHAnsi"/>
          <w:lang w:val="en-US"/>
        </w:rPr>
        <w:lastRenderedPageBreak/>
        <w:t xml:space="preserve">codes are listed in supplementary table </w:t>
      </w:r>
      <w:r w:rsidR="00D66D37" w:rsidRPr="008C43FB">
        <w:rPr>
          <w:rFonts w:cstheme="minorHAnsi"/>
          <w:lang w:val="en-US"/>
        </w:rPr>
        <w:t>2</w:t>
      </w:r>
      <w:r w:rsidR="00807E27" w:rsidRPr="008C43FB">
        <w:rPr>
          <w:rFonts w:cstheme="minorHAnsi"/>
          <w:lang w:val="en-US"/>
        </w:rPr>
        <w:t xml:space="preserve">. </w:t>
      </w:r>
      <w:r w:rsidRPr="008C43FB">
        <w:rPr>
          <w:lang w:val="en-US"/>
        </w:rPr>
        <w:t>All</w:t>
      </w:r>
      <w:r w:rsidR="00D73068" w:rsidRPr="008C43FB">
        <w:rPr>
          <w:lang w:val="en-US"/>
        </w:rPr>
        <w:t xml:space="preserve"> </w:t>
      </w:r>
      <w:r w:rsidRPr="008C43FB">
        <w:rPr>
          <w:lang w:val="en-US"/>
        </w:rPr>
        <w:t>participating registries verified individually DMT exposure, first trimester timing and CA of the exposed registrants.</w:t>
      </w:r>
      <w:bookmarkEnd w:id="9"/>
    </w:p>
    <w:bookmarkEnd w:id="7"/>
    <w:p w14:paraId="57C80847" w14:textId="05E1FEEE" w:rsidR="00DF340B" w:rsidRPr="008C43FB" w:rsidRDefault="000A2644" w:rsidP="00687DF5">
      <w:pPr>
        <w:pStyle w:val="Titre2"/>
        <w:rPr>
          <w:lang w:val="en-US"/>
        </w:rPr>
      </w:pPr>
      <w:r w:rsidRPr="008C43FB">
        <w:rPr>
          <w:lang w:val="en-US"/>
        </w:rPr>
        <w:t>Statistical analys</w:t>
      </w:r>
      <w:r w:rsidR="006734C1" w:rsidRPr="008C43FB">
        <w:rPr>
          <w:lang w:val="en-US"/>
        </w:rPr>
        <w:t>e</w:t>
      </w:r>
      <w:r w:rsidRPr="008C43FB">
        <w:rPr>
          <w:lang w:val="en-US"/>
        </w:rPr>
        <w:t>s</w:t>
      </w:r>
    </w:p>
    <w:p w14:paraId="00AA822A" w14:textId="68A4958A" w:rsidR="007D0CB8" w:rsidRPr="008C43FB" w:rsidRDefault="007D0CB8" w:rsidP="007D0CB8">
      <w:pPr>
        <w:pStyle w:val="Paragraphedeliste"/>
        <w:numPr>
          <w:ilvl w:val="2"/>
          <w:numId w:val="12"/>
        </w:numPr>
        <w:rPr>
          <w:rFonts w:asciiTheme="minorHAnsi" w:hAnsiTheme="minorHAnsi" w:cstheme="majorHAnsi"/>
          <w:bCs/>
          <w:color w:val="2F5496" w:themeColor="accent1" w:themeShade="BF"/>
          <w:kern w:val="36"/>
          <w:sz w:val="28"/>
          <w:szCs w:val="32"/>
          <w:lang w:val="en-US"/>
        </w:rPr>
      </w:pPr>
      <w:r w:rsidRPr="008C43FB">
        <w:rPr>
          <w:rFonts w:asciiTheme="minorHAnsi" w:hAnsiTheme="minorHAnsi" w:cstheme="majorHAnsi"/>
          <w:bCs/>
          <w:color w:val="2F5496" w:themeColor="accent1" w:themeShade="BF"/>
          <w:kern w:val="36"/>
          <w:sz w:val="28"/>
          <w:szCs w:val="32"/>
          <w:lang w:val="en-US"/>
        </w:rPr>
        <w:t>Descriptive analyses</w:t>
      </w:r>
    </w:p>
    <w:p w14:paraId="57C80851" w14:textId="46B3AA74" w:rsidR="008A39AE" w:rsidRPr="008C43FB" w:rsidRDefault="000A2644" w:rsidP="00A46DFC">
      <w:pPr>
        <w:spacing w:line="360" w:lineRule="auto"/>
        <w:jc w:val="both"/>
        <w:rPr>
          <w:rFonts w:cstheme="minorHAnsi"/>
          <w:bCs/>
          <w:iCs/>
          <w:lang w:val="en-US"/>
        </w:rPr>
      </w:pPr>
      <w:bookmarkStart w:id="10" w:name="_Hlk195779413"/>
      <w:r w:rsidRPr="008C43FB">
        <w:rPr>
          <w:rFonts w:cstheme="minorHAnsi"/>
          <w:bCs/>
          <w:iCs/>
          <w:lang w:val="en-US"/>
        </w:rPr>
        <w:t>Characteristics of the study population were described in categories: registry, year of birth</w:t>
      </w:r>
      <w:r w:rsidR="00796FE2" w:rsidRPr="008C43FB">
        <w:rPr>
          <w:rFonts w:cstheme="minorHAnsi"/>
          <w:bCs/>
          <w:iCs/>
          <w:lang w:val="en-US"/>
        </w:rPr>
        <w:t xml:space="preserve"> </w:t>
      </w:r>
      <w:r w:rsidR="00567E36" w:rsidRPr="008C43FB">
        <w:rPr>
          <w:rFonts w:cstheme="minorHAnsi"/>
          <w:bCs/>
          <w:iCs/>
          <w:lang w:val="en-US"/>
        </w:rPr>
        <w:t>([1998-2003], [2004-2009], [2010-2015], [2016-2020]</w:t>
      </w:r>
      <w:r w:rsidRPr="008C43FB">
        <w:rPr>
          <w:rFonts w:cstheme="minorHAnsi"/>
          <w:bCs/>
          <w:iCs/>
          <w:lang w:val="en-US"/>
        </w:rPr>
        <w:t xml:space="preserve">), age of the mother at birth </w:t>
      </w:r>
      <w:bookmarkEnd w:id="10"/>
      <w:r w:rsidRPr="008C43FB">
        <w:rPr>
          <w:rFonts w:cstheme="minorHAnsi"/>
          <w:bCs/>
          <w:iCs/>
          <w:lang w:val="en-US"/>
        </w:rPr>
        <w:t>(&lt;20, [20-24],[25-29],[30-34], [35-39] , &gt;</w:t>
      </w:r>
      <w:r w:rsidR="00625F7B" w:rsidRPr="008C43FB">
        <w:rPr>
          <w:rFonts w:cstheme="minorHAnsi"/>
          <w:bCs/>
          <w:iCs/>
          <w:lang w:val="en-US"/>
        </w:rPr>
        <w:t xml:space="preserve">39 </w:t>
      </w:r>
      <w:r w:rsidRPr="008C43FB">
        <w:rPr>
          <w:rFonts w:cstheme="minorHAnsi"/>
          <w:bCs/>
          <w:iCs/>
          <w:lang w:val="en-US"/>
        </w:rPr>
        <w:t>years), birth type (</w:t>
      </w:r>
      <w:r w:rsidR="00C76ECF" w:rsidRPr="008C43FB">
        <w:rPr>
          <w:rFonts w:cstheme="minorHAnsi"/>
          <w:bCs/>
          <w:iCs/>
          <w:lang w:val="en-US"/>
        </w:rPr>
        <w:t>LB</w:t>
      </w:r>
      <w:r w:rsidRPr="008C43FB">
        <w:rPr>
          <w:rFonts w:cstheme="minorHAnsi"/>
          <w:bCs/>
          <w:iCs/>
          <w:lang w:val="en-US"/>
        </w:rPr>
        <w:t xml:space="preserve">, </w:t>
      </w:r>
      <w:r w:rsidR="00C76ECF" w:rsidRPr="008C43FB">
        <w:rPr>
          <w:rFonts w:cstheme="minorHAnsi"/>
          <w:bCs/>
          <w:iCs/>
          <w:lang w:val="en-US"/>
        </w:rPr>
        <w:t>FD</w:t>
      </w:r>
      <w:r w:rsidRPr="008C43FB">
        <w:rPr>
          <w:rFonts w:cstheme="minorHAnsi"/>
          <w:bCs/>
          <w:iCs/>
          <w:lang w:val="en-US"/>
        </w:rPr>
        <w:t xml:space="preserve"> and TOPFA), sex of the fetus/child, length of gestation in livebirths (&lt;28, [28-31], [32-36], [37-41] and </w:t>
      </w:r>
      <w:r w:rsidR="00625F7B" w:rsidRPr="008C43FB">
        <w:rPr>
          <w:rFonts w:cstheme="minorHAnsi"/>
          <w:bCs/>
          <w:iCs/>
          <w:lang w:val="en-US"/>
        </w:rPr>
        <w:t>&gt; 41</w:t>
      </w:r>
      <w:r w:rsidRPr="008C43FB">
        <w:rPr>
          <w:rFonts w:cstheme="minorHAnsi"/>
          <w:bCs/>
          <w:iCs/>
          <w:lang w:val="en-US"/>
        </w:rPr>
        <w:t xml:space="preserve"> weeks), low birth weight in livebirths (&lt;2500 g</w:t>
      </w:r>
      <w:r w:rsidR="00625F7B" w:rsidRPr="008C43FB">
        <w:rPr>
          <w:rFonts w:cstheme="minorHAnsi"/>
          <w:bCs/>
          <w:iCs/>
          <w:lang w:val="en-US"/>
        </w:rPr>
        <w:t xml:space="preserve">rams </w:t>
      </w:r>
      <w:r w:rsidRPr="008C43FB">
        <w:rPr>
          <w:rFonts w:cstheme="minorHAnsi"/>
          <w:bCs/>
          <w:iCs/>
          <w:lang w:val="en-US"/>
        </w:rPr>
        <w:t>), multiple birth</w:t>
      </w:r>
      <w:r w:rsidR="000258E1" w:rsidRPr="008C43FB">
        <w:rPr>
          <w:rFonts w:cstheme="minorHAnsi"/>
          <w:bCs/>
          <w:iCs/>
          <w:lang w:val="en-US"/>
        </w:rPr>
        <w:t xml:space="preserve"> and </w:t>
      </w:r>
      <w:r w:rsidR="002F552E" w:rsidRPr="008C43FB">
        <w:rPr>
          <w:rFonts w:cstheme="minorHAnsi"/>
          <w:bCs/>
          <w:iCs/>
          <w:lang w:val="en-US"/>
        </w:rPr>
        <w:t>MS diagnosis</w:t>
      </w:r>
      <w:r w:rsidRPr="008C43FB">
        <w:rPr>
          <w:rFonts w:cstheme="minorHAnsi"/>
          <w:bCs/>
          <w:iCs/>
          <w:lang w:val="en-US"/>
        </w:rPr>
        <w:t>.</w:t>
      </w:r>
      <w:r w:rsidR="000258E1" w:rsidRPr="008C43FB">
        <w:rPr>
          <w:rFonts w:cstheme="minorHAnsi"/>
          <w:bCs/>
          <w:iCs/>
          <w:lang w:val="en-US"/>
        </w:rPr>
        <w:t xml:space="preserve"> </w:t>
      </w:r>
      <w:r w:rsidRPr="008C43FB">
        <w:rPr>
          <w:rFonts w:cstheme="minorHAnsi"/>
          <w:bCs/>
          <w:iCs/>
          <w:lang w:val="en-US"/>
        </w:rPr>
        <w:t>Categorical variables were described as numbers with percentage</w:t>
      </w:r>
      <w:r w:rsidR="004D755C" w:rsidRPr="008C43FB">
        <w:rPr>
          <w:rFonts w:cstheme="minorHAnsi"/>
          <w:bCs/>
          <w:iCs/>
          <w:lang w:val="en-US"/>
        </w:rPr>
        <w:t>s</w:t>
      </w:r>
      <w:r w:rsidRPr="008C43FB">
        <w:rPr>
          <w:rFonts w:cstheme="minorHAnsi"/>
          <w:bCs/>
          <w:iCs/>
          <w:lang w:val="en-US"/>
        </w:rPr>
        <w:t>.</w:t>
      </w:r>
      <w:r w:rsidR="00612132" w:rsidRPr="008C43FB">
        <w:rPr>
          <w:rFonts w:cstheme="minorHAnsi"/>
          <w:bCs/>
          <w:iCs/>
          <w:lang w:val="en-US"/>
        </w:rPr>
        <w:t xml:space="preserve"> </w:t>
      </w:r>
    </w:p>
    <w:p w14:paraId="57C80852" w14:textId="42ABA1D5" w:rsidR="00556575" w:rsidRPr="008C43FB" w:rsidRDefault="000A2644" w:rsidP="00D10ADA">
      <w:pPr>
        <w:spacing w:line="360" w:lineRule="auto"/>
        <w:jc w:val="both"/>
        <w:rPr>
          <w:rFonts w:cstheme="minorHAnsi"/>
          <w:lang w:val="en-US"/>
        </w:rPr>
      </w:pPr>
      <w:r w:rsidRPr="008C43FB">
        <w:rPr>
          <w:rFonts w:cstheme="minorHAnsi"/>
          <w:bCs/>
          <w:iCs/>
          <w:lang w:val="en-US"/>
        </w:rPr>
        <w:t>Finally, we conduc</w:t>
      </w:r>
      <w:r w:rsidRPr="008C43FB">
        <w:rPr>
          <w:rFonts w:cstheme="minorHAnsi"/>
          <w:lang w:val="en-US"/>
        </w:rPr>
        <w:t xml:space="preserve">ted a case series </w:t>
      </w:r>
      <w:r w:rsidR="00145371" w:rsidRPr="008C43FB">
        <w:rPr>
          <w:rFonts w:cstheme="minorHAnsi"/>
          <w:lang w:val="en-US"/>
        </w:rPr>
        <w:t xml:space="preserve">to </w:t>
      </w:r>
      <w:r w:rsidRPr="008C43FB">
        <w:rPr>
          <w:lang w:val="en-US"/>
        </w:rPr>
        <w:t xml:space="preserve">describe the characteristics of </w:t>
      </w:r>
      <w:r w:rsidRPr="008C43FB">
        <w:rPr>
          <w:rFonts w:cstheme="minorHAnsi"/>
          <w:lang w:val="en-US"/>
        </w:rPr>
        <w:t xml:space="preserve">registrants with maternal MS. The analysis included details such as type of </w:t>
      </w:r>
      <w:r w:rsidR="00617F80" w:rsidRPr="008C43FB">
        <w:rPr>
          <w:rFonts w:cstheme="minorHAnsi"/>
          <w:lang w:val="en-US"/>
        </w:rPr>
        <w:t>CA</w:t>
      </w:r>
      <w:r w:rsidRPr="008C43FB">
        <w:rPr>
          <w:rFonts w:cstheme="minorHAnsi"/>
          <w:lang w:val="en-US"/>
        </w:rPr>
        <w:t>, classification of the anomaly (</w:t>
      </w:r>
      <w:r w:rsidR="00863CBA" w:rsidRPr="008C43FB">
        <w:rPr>
          <w:rFonts w:cstheme="minorHAnsi"/>
          <w:lang w:val="en-US"/>
        </w:rPr>
        <w:t xml:space="preserve">isolated anomaly, </w:t>
      </w:r>
      <w:r w:rsidRPr="008C43FB">
        <w:rPr>
          <w:rFonts w:cstheme="minorHAnsi"/>
          <w:lang w:val="en-US"/>
        </w:rPr>
        <w:t xml:space="preserve">multiple </w:t>
      </w:r>
      <w:r w:rsidR="00617F80" w:rsidRPr="008C43FB">
        <w:rPr>
          <w:rFonts w:cstheme="minorHAnsi"/>
          <w:lang w:val="en-US"/>
        </w:rPr>
        <w:t>CA</w:t>
      </w:r>
      <w:r w:rsidR="00863CBA" w:rsidRPr="008C43FB">
        <w:rPr>
          <w:rFonts w:cstheme="minorHAnsi"/>
          <w:lang w:val="en-US"/>
        </w:rPr>
        <w:t xml:space="preserve"> </w:t>
      </w:r>
      <w:r w:rsidRPr="008C43FB">
        <w:rPr>
          <w:rFonts w:cstheme="minorHAnsi"/>
          <w:lang w:val="en-US"/>
        </w:rPr>
        <w:t xml:space="preserve">or </w:t>
      </w:r>
      <w:r w:rsidR="00863CBA" w:rsidRPr="008C43FB">
        <w:rPr>
          <w:rFonts w:cstheme="minorHAnsi"/>
          <w:lang w:val="en-US"/>
        </w:rPr>
        <w:t>genetic</w:t>
      </w:r>
      <w:r w:rsidRPr="008C43FB">
        <w:rPr>
          <w:rFonts w:cstheme="minorHAnsi"/>
          <w:lang w:val="en-US"/>
        </w:rPr>
        <w:t>), DMTs exposure, and additional medications taken during the first trimester</w:t>
      </w:r>
      <w:r w:rsidR="00D73068" w:rsidRPr="008C43FB">
        <w:rPr>
          <w:rFonts w:cstheme="minorHAnsi"/>
          <w:lang w:val="en-US"/>
        </w:rPr>
        <w:t xml:space="preserve">. </w:t>
      </w:r>
    </w:p>
    <w:p w14:paraId="3CE7DE52" w14:textId="648C70E6" w:rsidR="007D0CB8" w:rsidRPr="008C43FB" w:rsidRDefault="007D0CB8" w:rsidP="007D0CB8">
      <w:pPr>
        <w:pStyle w:val="Paragraphedeliste"/>
        <w:numPr>
          <w:ilvl w:val="2"/>
          <w:numId w:val="12"/>
        </w:numPr>
        <w:rPr>
          <w:rFonts w:asciiTheme="minorHAnsi" w:hAnsiTheme="minorHAnsi" w:cstheme="majorHAnsi"/>
          <w:bCs/>
          <w:color w:val="2F5496" w:themeColor="accent1" w:themeShade="BF"/>
          <w:kern w:val="36"/>
          <w:sz w:val="28"/>
          <w:szCs w:val="32"/>
          <w:lang w:val="en-US"/>
        </w:rPr>
      </w:pPr>
      <w:r w:rsidRPr="008C43FB">
        <w:rPr>
          <w:rFonts w:asciiTheme="minorHAnsi" w:hAnsiTheme="minorHAnsi" w:cstheme="majorHAnsi"/>
          <w:bCs/>
          <w:color w:val="2F5496" w:themeColor="accent1" w:themeShade="BF"/>
          <w:kern w:val="36"/>
          <w:sz w:val="28"/>
          <w:szCs w:val="32"/>
          <w:lang w:val="en-US"/>
        </w:rPr>
        <w:t>Signal detection analysis</w:t>
      </w:r>
    </w:p>
    <w:p w14:paraId="57C80854" w14:textId="0F38F32E" w:rsidR="00EB6BA4" w:rsidRPr="008C43FB" w:rsidRDefault="000A2644" w:rsidP="00F24F2E">
      <w:pPr>
        <w:spacing w:line="360" w:lineRule="auto"/>
        <w:jc w:val="both"/>
        <w:rPr>
          <w:rFonts w:cstheme="minorHAnsi"/>
          <w:lang w:val="en-US"/>
        </w:rPr>
      </w:pPr>
      <w:r w:rsidRPr="008C43FB">
        <w:rPr>
          <w:rFonts w:cstheme="minorHAnsi"/>
          <w:lang w:val="en-US"/>
        </w:rPr>
        <w:t>W</w:t>
      </w:r>
      <w:r w:rsidR="00545117" w:rsidRPr="008C43FB">
        <w:rPr>
          <w:rFonts w:cstheme="minorHAnsi"/>
          <w:lang w:val="en-US"/>
        </w:rPr>
        <w:t xml:space="preserve">e </w:t>
      </w:r>
      <w:r w:rsidRPr="008C43FB">
        <w:rPr>
          <w:lang w:val="en-US"/>
        </w:rPr>
        <w:t xml:space="preserve">conducted </w:t>
      </w:r>
      <w:r w:rsidR="000C70FF" w:rsidRPr="008C43FB">
        <w:rPr>
          <w:lang w:val="en-US"/>
        </w:rPr>
        <w:t>two</w:t>
      </w:r>
      <w:r w:rsidRPr="008C43FB">
        <w:rPr>
          <w:lang w:val="en-US"/>
        </w:rPr>
        <w:t xml:space="preserve"> signal detection analys</w:t>
      </w:r>
      <w:r w:rsidR="000C70FF" w:rsidRPr="008C43FB">
        <w:rPr>
          <w:lang w:val="en-US"/>
        </w:rPr>
        <w:t>e</w:t>
      </w:r>
      <w:r w:rsidRPr="008C43FB">
        <w:rPr>
          <w:lang w:val="en-US"/>
        </w:rPr>
        <w:t>s</w:t>
      </w:r>
      <w:r w:rsidR="000C70FF" w:rsidRPr="008C43FB">
        <w:rPr>
          <w:lang w:val="en-US"/>
        </w:rPr>
        <w:t xml:space="preserve"> using logistic regression models. The first one aimed</w:t>
      </w:r>
      <w:r w:rsidRPr="008C43FB">
        <w:rPr>
          <w:lang w:val="en-US"/>
        </w:rPr>
        <w:t xml:space="preserve"> </w:t>
      </w:r>
      <w:r w:rsidR="00581CD9" w:rsidRPr="008C43FB">
        <w:rPr>
          <w:lang w:val="en-US"/>
        </w:rPr>
        <w:t xml:space="preserve">at </w:t>
      </w:r>
      <w:r w:rsidR="00545117" w:rsidRPr="008C43FB">
        <w:rPr>
          <w:rFonts w:cstheme="minorHAnsi"/>
          <w:lang w:val="en-US"/>
        </w:rPr>
        <w:t>compar</w:t>
      </w:r>
      <w:r w:rsidR="002F552E" w:rsidRPr="008C43FB">
        <w:rPr>
          <w:rFonts w:cstheme="minorHAnsi"/>
          <w:lang w:val="en-US"/>
        </w:rPr>
        <w:t>ing</w:t>
      </w:r>
      <w:r w:rsidR="00545117" w:rsidRPr="008C43FB">
        <w:rPr>
          <w:rFonts w:cstheme="minorHAnsi"/>
          <w:lang w:val="en-US"/>
        </w:rPr>
        <w:t xml:space="preserve"> the proportion of registrants </w:t>
      </w:r>
      <w:r w:rsidR="00E24A14" w:rsidRPr="008C43FB">
        <w:rPr>
          <w:rFonts w:cstheme="minorHAnsi"/>
          <w:lang w:val="en-US"/>
        </w:rPr>
        <w:t xml:space="preserve">having a mother with </w:t>
      </w:r>
      <w:r w:rsidR="00C13529" w:rsidRPr="008C43FB">
        <w:rPr>
          <w:rFonts w:cstheme="minorHAnsi"/>
          <w:lang w:val="en-US"/>
        </w:rPr>
        <w:t>MS</w:t>
      </w:r>
      <w:r w:rsidR="00A438E1" w:rsidRPr="008C43FB">
        <w:rPr>
          <w:rFonts w:cstheme="minorHAnsi"/>
          <w:lang w:val="en-US"/>
        </w:rPr>
        <w:t xml:space="preserve"> in a specific </w:t>
      </w:r>
      <w:r w:rsidR="00A919CA" w:rsidRPr="008C43FB">
        <w:rPr>
          <w:rFonts w:cstheme="minorHAnsi"/>
          <w:lang w:val="en-US"/>
        </w:rPr>
        <w:t>CA</w:t>
      </w:r>
      <w:r w:rsidR="00A438E1" w:rsidRPr="008C43FB">
        <w:rPr>
          <w:rFonts w:cstheme="minorHAnsi"/>
          <w:lang w:val="en-US"/>
        </w:rPr>
        <w:t xml:space="preserve"> subgroup (case group)</w:t>
      </w:r>
      <w:r w:rsidR="00545117" w:rsidRPr="008C43FB">
        <w:rPr>
          <w:rFonts w:cstheme="minorHAnsi"/>
          <w:lang w:val="en-US"/>
        </w:rPr>
        <w:t xml:space="preserve">, </w:t>
      </w:r>
      <w:r w:rsidR="002F552E" w:rsidRPr="008C43FB">
        <w:rPr>
          <w:rFonts w:cstheme="minorHAnsi"/>
          <w:lang w:val="en-US"/>
        </w:rPr>
        <w:t xml:space="preserve">with </w:t>
      </w:r>
      <w:r w:rsidR="00545117" w:rsidRPr="008C43FB">
        <w:rPr>
          <w:rFonts w:cstheme="minorHAnsi"/>
          <w:lang w:val="en-US"/>
        </w:rPr>
        <w:t xml:space="preserve">the proportion </w:t>
      </w:r>
      <w:r w:rsidR="009642B0" w:rsidRPr="008C43FB">
        <w:rPr>
          <w:rFonts w:cstheme="minorHAnsi"/>
          <w:lang w:val="en-US"/>
        </w:rPr>
        <w:t xml:space="preserve">of registrants </w:t>
      </w:r>
      <w:r w:rsidR="00E24A14" w:rsidRPr="008C43FB">
        <w:rPr>
          <w:rFonts w:cstheme="minorHAnsi"/>
          <w:lang w:val="en-US"/>
        </w:rPr>
        <w:t xml:space="preserve">having a mother with </w:t>
      </w:r>
      <w:r w:rsidR="009642B0" w:rsidRPr="008C43FB">
        <w:rPr>
          <w:rFonts w:cstheme="minorHAnsi"/>
          <w:lang w:val="en-US"/>
        </w:rPr>
        <w:t xml:space="preserve">MS </w:t>
      </w:r>
      <w:r w:rsidR="002F552E" w:rsidRPr="008C43FB">
        <w:rPr>
          <w:rFonts w:cstheme="minorHAnsi"/>
          <w:lang w:val="en-US"/>
        </w:rPr>
        <w:t xml:space="preserve">in all </w:t>
      </w:r>
      <w:r w:rsidR="00545117" w:rsidRPr="008C43FB">
        <w:rPr>
          <w:rFonts w:cstheme="minorHAnsi"/>
          <w:lang w:val="en-US"/>
        </w:rPr>
        <w:t xml:space="preserve">other </w:t>
      </w:r>
      <w:r w:rsidR="00A919CA" w:rsidRPr="008C43FB">
        <w:rPr>
          <w:rFonts w:cstheme="minorHAnsi"/>
          <w:lang w:val="en-US"/>
        </w:rPr>
        <w:t xml:space="preserve">CA </w:t>
      </w:r>
      <w:r w:rsidR="00545117" w:rsidRPr="008C43FB">
        <w:rPr>
          <w:rFonts w:cstheme="minorHAnsi"/>
          <w:lang w:val="en-US"/>
        </w:rPr>
        <w:t>subgroups (control groups)</w:t>
      </w:r>
      <w:r w:rsidR="009642B0" w:rsidRPr="008C43FB">
        <w:rPr>
          <w:rFonts w:cstheme="minorHAnsi"/>
          <w:lang w:val="en-US"/>
        </w:rPr>
        <w:t>.</w:t>
      </w:r>
      <w:r w:rsidR="000C70FF" w:rsidRPr="008C43FB">
        <w:rPr>
          <w:rFonts w:cstheme="minorHAnsi"/>
          <w:lang w:val="en-US"/>
        </w:rPr>
        <w:t xml:space="preserve"> The </w:t>
      </w:r>
      <w:r w:rsidRPr="008C43FB">
        <w:rPr>
          <w:lang w:val="en-US"/>
        </w:rPr>
        <w:t xml:space="preserve">second signal detection analysis </w:t>
      </w:r>
      <w:r w:rsidR="000C70FF" w:rsidRPr="008C43FB">
        <w:rPr>
          <w:lang w:val="en-US"/>
        </w:rPr>
        <w:t xml:space="preserve">aimed </w:t>
      </w:r>
      <w:r w:rsidR="00581CD9" w:rsidRPr="008C43FB">
        <w:rPr>
          <w:rFonts w:cstheme="minorHAnsi"/>
          <w:lang w:val="en-US"/>
        </w:rPr>
        <w:t>at</w:t>
      </w:r>
      <w:r w:rsidR="002F552E" w:rsidRPr="008C43FB">
        <w:rPr>
          <w:rFonts w:cstheme="minorHAnsi"/>
          <w:lang w:val="en-US"/>
        </w:rPr>
        <w:t xml:space="preserve"> </w:t>
      </w:r>
      <w:r w:rsidR="00612132" w:rsidRPr="008C43FB">
        <w:rPr>
          <w:rFonts w:cstheme="minorHAnsi"/>
          <w:lang w:val="en-US"/>
        </w:rPr>
        <w:t>identify</w:t>
      </w:r>
      <w:r w:rsidR="002F552E" w:rsidRPr="008C43FB">
        <w:rPr>
          <w:rFonts w:cstheme="minorHAnsi"/>
          <w:lang w:val="en-US"/>
        </w:rPr>
        <w:t>ing</w:t>
      </w:r>
      <w:r w:rsidR="00612132" w:rsidRPr="008C43FB">
        <w:rPr>
          <w:rFonts w:cstheme="minorHAnsi"/>
          <w:lang w:val="en-US"/>
        </w:rPr>
        <w:t xml:space="preserve"> potential signals associated with </w:t>
      </w:r>
      <w:r w:rsidRPr="008C43FB">
        <w:rPr>
          <w:rFonts w:cstheme="minorHAnsi"/>
          <w:lang w:val="en-US"/>
        </w:rPr>
        <w:t xml:space="preserve">exposure to </w:t>
      </w:r>
      <w:r w:rsidR="000B3983" w:rsidRPr="008C43FB">
        <w:rPr>
          <w:rFonts w:cstheme="minorHAnsi"/>
          <w:lang w:val="en-US"/>
        </w:rPr>
        <w:t xml:space="preserve">each </w:t>
      </w:r>
      <w:r w:rsidRPr="008C43FB">
        <w:rPr>
          <w:rFonts w:cstheme="minorHAnsi"/>
          <w:lang w:val="en-US"/>
        </w:rPr>
        <w:t xml:space="preserve">MS </w:t>
      </w:r>
      <w:r w:rsidR="00612132" w:rsidRPr="008C43FB">
        <w:rPr>
          <w:rFonts w:cstheme="minorHAnsi"/>
          <w:lang w:val="en-US"/>
        </w:rPr>
        <w:t>DMT</w:t>
      </w:r>
      <w:r w:rsidR="00D42851" w:rsidRPr="008C43FB">
        <w:rPr>
          <w:rFonts w:cstheme="minorHAnsi"/>
          <w:lang w:val="en-US"/>
        </w:rPr>
        <w:t xml:space="preserve"> (</w:t>
      </w:r>
      <w:r w:rsidR="00957EC5" w:rsidRPr="008C43FB">
        <w:rPr>
          <w:lang w:val="en-US"/>
        </w:rPr>
        <w:t>all MS-specific and non-specific DMT</w:t>
      </w:r>
      <w:r w:rsidR="00B63279" w:rsidRPr="008C43FB">
        <w:rPr>
          <w:lang w:val="en-US"/>
        </w:rPr>
        <w:t>s</w:t>
      </w:r>
      <w:r w:rsidR="00957EC5" w:rsidRPr="008C43FB">
        <w:rPr>
          <w:lang w:val="en-US"/>
        </w:rPr>
        <w:t xml:space="preserve">, </w:t>
      </w:r>
      <w:r w:rsidR="00957EC5" w:rsidRPr="008C43FB">
        <w:rPr>
          <w:rFonts w:cstheme="minorHAnsi"/>
          <w:lang w:val="en-US"/>
        </w:rPr>
        <w:t>supplementary table 2</w:t>
      </w:r>
      <w:r w:rsidR="00D42851" w:rsidRPr="008C43FB">
        <w:rPr>
          <w:rFonts w:cstheme="minorHAnsi"/>
          <w:lang w:val="en-US"/>
        </w:rPr>
        <w:t>)</w:t>
      </w:r>
      <w:r w:rsidR="004443A1" w:rsidRPr="008C43FB">
        <w:rPr>
          <w:rFonts w:cstheme="minorHAnsi"/>
          <w:lang w:val="en-US"/>
        </w:rPr>
        <w:t xml:space="preserve"> in women </w:t>
      </w:r>
      <w:r w:rsidR="00F334C2" w:rsidRPr="008C43FB">
        <w:rPr>
          <w:rFonts w:cstheme="minorHAnsi"/>
          <w:lang w:val="en-US"/>
        </w:rPr>
        <w:t>with MS</w:t>
      </w:r>
      <w:r w:rsidR="00A605B9" w:rsidRPr="008C43FB">
        <w:rPr>
          <w:rFonts w:cstheme="minorHAnsi"/>
          <w:lang w:val="en-US"/>
        </w:rPr>
        <w:t xml:space="preserve">, </w:t>
      </w:r>
      <w:r w:rsidR="001316C6" w:rsidRPr="008C43FB">
        <w:rPr>
          <w:rFonts w:cstheme="minorHAnsi"/>
          <w:lang w:val="en-US"/>
        </w:rPr>
        <w:t xml:space="preserve">the non-exposed group contained registrants </w:t>
      </w:r>
      <w:r w:rsidR="00A81165" w:rsidRPr="008C43FB">
        <w:rPr>
          <w:rFonts w:cstheme="minorHAnsi"/>
          <w:lang w:val="en-US"/>
        </w:rPr>
        <w:t>with m</w:t>
      </w:r>
      <w:r w:rsidR="006800CD" w:rsidRPr="008C43FB">
        <w:rPr>
          <w:rFonts w:cstheme="minorHAnsi"/>
          <w:lang w:val="en-US"/>
        </w:rPr>
        <w:t xml:space="preserve">aternal MS </w:t>
      </w:r>
      <w:r w:rsidR="001316C6" w:rsidRPr="008C43FB">
        <w:rPr>
          <w:rFonts w:cstheme="minorHAnsi"/>
          <w:lang w:val="en-US"/>
        </w:rPr>
        <w:t xml:space="preserve">not exposed to the DMT </w:t>
      </w:r>
      <w:r w:rsidR="00EE4722" w:rsidRPr="008C43FB">
        <w:rPr>
          <w:rFonts w:cstheme="minorHAnsi"/>
          <w:lang w:val="en-US"/>
        </w:rPr>
        <w:t>analy</w:t>
      </w:r>
      <w:r w:rsidR="00EE4722" w:rsidRPr="00EE4722">
        <w:rPr>
          <w:rFonts w:cstheme="minorHAnsi"/>
          <w:lang w:val="en-US"/>
        </w:rPr>
        <w:t>z</w:t>
      </w:r>
      <w:r w:rsidR="00EE4722" w:rsidRPr="008C43FB">
        <w:rPr>
          <w:rFonts w:cstheme="minorHAnsi"/>
          <w:lang w:val="en-US"/>
        </w:rPr>
        <w:t>ed</w:t>
      </w:r>
      <w:r w:rsidR="001C640B" w:rsidRPr="008C43FB">
        <w:rPr>
          <w:lang w:val="en-US"/>
        </w:rPr>
        <w:t>.</w:t>
      </w:r>
      <w:r w:rsidR="003A2E7E" w:rsidRPr="008C43FB">
        <w:rPr>
          <w:lang w:val="en-US"/>
        </w:rPr>
        <w:t xml:space="preserve"> </w:t>
      </w:r>
    </w:p>
    <w:p w14:paraId="57C80855" w14:textId="16D5DD64" w:rsidR="00612132" w:rsidRPr="008C43FB" w:rsidRDefault="000A2644" w:rsidP="00F24F2E">
      <w:pPr>
        <w:spacing w:line="360" w:lineRule="auto"/>
        <w:jc w:val="both"/>
        <w:rPr>
          <w:rFonts w:cstheme="minorHAnsi"/>
          <w:lang w:val="en-US"/>
        </w:rPr>
      </w:pPr>
      <w:r w:rsidRPr="008C43FB">
        <w:rPr>
          <w:rFonts w:cstheme="minorHAnsi"/>
          <w:lang w:val="en-US"/>
        </w:rPr>
        <w:t>We estimated Reporting Odds Ratio</w:t>
      </w:r>
      <w:r w:rsidR="00581CD9" w:rsidRPr="008C43FB">
        <w:rPr>
          <w:rFonts w:cstheme="minorHAnsi"/>
          <w:lang w:val="en-US"/>
        </w:rPr>
        <w:t>s</w:t>
      </w:r>
      <w:r w:rsidRPr="008C43FB">
        <w:rPr>
          <w:rFonts w:cstheme="minorHAnsi"/>
          <w:lang w:val="en-US"/>
        </w:rPr>
        <w:t xml:space="preserve"> (ROR</w:t>
      </w:r>
      <w:r w:rsidR="00581CD9" w:rsidRPr="008C43FB">
        <w:rPr>
          <w:rFonts w:cstheme="minorHAnsi"/>
          <w:lang w:val="en-US"/>
        </w:rPr>
        <w:t>s</w:t>
      </w:r>
      <w:r w:rsidRPr="008C43FB">
        <w:rPr>
          <w:rFonts w:cstheme="minorHAnsi"/>
          <w:lang w:val="en-US"/>
        </w:rPr>
        <w:t>) and the 95% confidence interval. ROR</w:t>
      </w:r>
      <w:r w:rsidR="00581CD9" w:rsidRPr="008C43FB">
        <w:rPr>
          <w:rFonts w:cstheme="minorHAnsi"/>
          <w:lang w:val="en-US"/>
        </w:rPr>
        <w:t>s</w:t>
      </w:r>
      <w:r w:rsidRPr="008C43FB">
        <w:rPr>
          <w:rFonts w:cstheme="minorHAnsi"/>
          <w:lang w:val="en-US"/>
        </w:rPr>
        <w:t xml:space="preserve"> were subsequently adjusted for registry, birth year, and maternal age</w:t>
      </w:r>
      <w:r w:rsidR="009000FE" w:rsidRPr="008C43FB">
        <w:rPr>
          <w:rFonts w:cstheme="minorHAnsi"/>
          <w:lang w:val="en-US"/>
        </w:rPr>
        <w:t xml:space="preserve"> (</w:t>
      </w:r>
      <w:proofErr w:type="spellStart"/>
      <w:r w:rsidR="009000FE" w:rsidRPr="008C43FB">
        <w:rPr>
          <w:rFonts w:cstheme="minorHAnsi"/>
          <w:lang w:val="en-US"/>
        </w:rPr>
        <w:t>aROR</w:t>
      </w:r>
      <w:r w:rsidR="00581CD9" w:rsidRPr="008C43FB">
        <w:rPr>
          <w:rFonts w:cstheme="minorHAnsi"/>
          <w:lang w:val="en-US"/>
        </w:rPr>
        <w:t>s</w:t>
      </w:r>
      <w:proofErr w:type="spellEnd"/>
      <w:r w:rsidR="009000FE" w:rsidRPr="008C43FB">
        <w:rPr>
          <w:rFonts w:cstheme="minorHAnsi"/>
          <w:lang w:val="en-US"/>
        </w:rPr>
        <w:t>)</w:t>
      </w:r>
      <w:r w:rsidR="000C70FF" w:rsidRPr="008C43FB">
        <w:rPr>
          <w:rFonts w:cstheme="minorHAnsi"/>
          <w:lang w:val="en-US"/>
        </w:rPr>
        <w:t xml:space="preserve">. </w:t>
      </w:r>
      <w:r w:rsidR="0002049C" w:rsidRPr="008C43FB">
        <w:rPr>
          <w:lang w:val="en-US"/>
        </w:rPr>
        <w:t xml:space="preserve">For each CA subgroup, we considered a significantly increased </w:t>
      </w:r>
      <w:proofErr w:type="spellStart"/>
      <w:r w:rsidR="00A5365C" w:rsidRPr="008C43FB">
        <w:rPr>
          <w:lang w:val="en-US"/>
        </w:rPr>
        <w:t>a</w:t>
      </w:r>
      <w:r w:rsidR="0002049C" w:rsidRPr="008C43FB">
        <w:rPr>
          <w:lang w:val="en-US"/>
        </w:rPr>
        <w:t>ROR</w:t>
      </w:r>
      <w:proofErr w:type="spellEnd"/>
      <w:r w:rsidR="0002049C" w:rsidRPr="008C43FB">
        <w:rPr>
          <w:lang w:val="en-US"/>
        </w:rPr>
        <w:t xml:space="preserve"> compared </w:t>
      </w:r>
      <w:r w:rsidR="00581CD9" w:rsidRPr="008C43FB">
        <w:rPr>
          <w:lang w:val="en-US"/>
        </w:rPr>
        <w:t xml:space="preserve">with </w:t>
      </w:r>
      <w:r w:rsidR="00C92473" w:rsidRPr="008C43FB">
        <w:rPr>
          <w:lang w:val="en-US"/>
        </w:rPr>
        <w:t>the non-genetic control group</w:t>
      </w:r>
      <w:r w:rsidR="0002049C" w:rsidRPr="008C43FB">
        <w:rPr>
          <w:lang w:val="en-US"/>
        </w:rPr>
        <w:t xml:space="preserve"> as a signal</w:t>
      </w:r>
      <w:r w:rsidR="0002049C" w:rsidRPr="008C43FB">
        <w:rPr>
          <w:rFonts w:cstheme="minorHAnsi"/>
          <w:lang w:val="en-US"/>
        </w:rPr>
        <w:t xml:space="preserve">. </w:t>
      </w:r>
      <w:r w:rsidR="00AA64E6" w:rsidRPr="008C43FB">
        <w:rPr>
          <w:rFonts w:cstheme="minorHAnsi"/>
          <w:lang w:val="en-US"/>
        </w:rPr>
        <w:t xml:space="preserve">For the signal detection analyses exploring the association between maternal MS and specific CA subgroup, </w:t>
      </w:r>
      <w:r w:rsidR="00966CFB" w:rsidRPr="008C43FB">
        <w:rPr>
          <w:lang w:val="en-US"/>
        </w:rPr>
        <w:t>only RORs with p-values remaining significant after adjustment for multiple testing were retained as signals</w:t>
      </w:r>
      <w:r w:rsidR="00AA64E6" w:rsidRPr="008C43FB">
        <w:rPr>
          <w:rFonts w:cstheme="minorHAnsi"/>
          <w:lang w:val="en-US"/>
        </w:rPr>
        <w:t xml:space="preserve">. </w:t>
      </w:r>
      <w:r w:rsidR="000C70FF" w:rsidRPr="008C43FB">
        <w:rPr>
          <w:lang w:val="en-US"/>
        </w:rPr>
        <w:t xml:space="preserve">We </w:t>
      </w:r>
      <w:r w:rsidR="0080139A" w:rsidRPr="008C43FB">
        <w:rPr>
          <w:lang w:val="en-US"/>
        </w:rPr>
        <w:t xml:space="preserve">performed </w:t>
      </w:r>
      <w:r w:rsidR="000C70FF" w:rsidRPr="008C43FB">
        <w:rPr>
          <w:lang w:val="en-US"/>
        </w:rPr>
        <w:t>complete case analyses</w:t>
      </w:r>
      <w:r w:rsidR="00253868" w:rsidRPr="008C43FB">
        <w:rPr>
          <w:lang w:val="en-US"/>
        </w:rPr>
        <w:t>,</w:t>
      </w:r>
      <w:r w:rsidR="000C70FF" w:rsidRPr="008C43FB">
        <w:rPr>
          <w:lang w:val="en-US"/>
        </w:rPr>
        <w:t xml:space="preserve"> therefore registrants with missing data for any of the adjustment covariates were excluded from the multivariable analyses</w:t>
      </w:r>
      <w:r w:rsidR="000C70FF" w:rsidRPr="008C43FB">
        <w:rPr>
          <w:rFonts w:cstheme="minorHAnsi"/>
          <w:lang w:val="en-US"/>
        </w:rPr>
        <w:t xml:space="preserve">. </w:t>
      </w:r>
      <w:r w:rsidR="000C70FF" w:rsidRPr="008C43FB">
        <w:rPr>
          <w:lang w:val="en-US"/>
        </w:rPr>
        <w:t>For the analysis of CA subgroups with less than or equal to 5 exposed cases, a bias correction was performed using the Firth method</w:t>
      </w:r>
      <w:r w:rsidR="001D0C74" w:rsidRPr="008C43FB">
        <w:rPr>
          <w:lang w:val="en-US"/>
        </w:rPr>
        <w:t xml:space="preserve"> </w:t>
      </w:r>
      <w:r w:rsidR="001D0C74" w:rsidRPr="008C43FB">
        <w:rPr>
          <w:lang w:val="en-US"/>
        </w:rPr>
        <w:fldChar w:fldCharType="begin"/>
      </w:r>
      <w:r w:rsidR="00890BE5" w:rsidRPr="008C43FB">
        <w:rPr>
          <w:lang w:val="en-US"/>
        </w:rPr>
        <w:instrText xml:space="preserve"> ADDIN ZOTERO_ITEM CSL_CITATION {"citationID":"4cJt4xn6","properties":{"formattedCitation":"[29]","plainCitation":"[29]","noteIndex":0},"citationItems":[{"id":3192,"uris":["http://zotero.org/users/4535351/items/QPGFC5N8"],"itemData":{"id":3192,"type":"article-journal","abstract":"BACKGROUND: Logistic regression models are widely used to evaluate the association between a binary outcome and a set of covariates. However, when there are few study participants at the outcome and covariate levels, the models lead to bias of the odds ratio (OR) estimated using the maximum likelihood (ML) method. This bias is known as sparse data bias, and the estimated OR can yield impossibly large values because of data sparsity. However, this bias has been ignored in most epidemiological studies.\nMETHODS: We review several methods for reducing sparse data bias in logistic regression. The primary aim is to evaluate the Bayesian methods in comparison with the classical methods, such as the ML, Firth's, and exact methods using a simulation study. We also apply these methods to a real data set.\nRESULTS: Our simulation results indicate that the bias of the OR from the ML, Firth's, and exact methods is considerable. Furthermore, the Bayesian methods with hyper-ɡ prior modeling of the prior covariance matrix for regression coefficients reduced the bias under the null hypothesis, whereas the Bayesian methods with log F-type priors reduced the bias under the alternative hypothesis.\nCONCLUSION: The Bayesian methods using log F-type priors and hyper-ɡ prior are superior to the ML, Firth's, and exact methods when fitting logistic models to sparse data sets. The choice of a preferable method depends on the null and alternative hypothesis. Sensitivity analysis is important to understand the robustness of the results in sparse data analysis.","container-title":"Journal of Epidemiology","DOI":"10.2188/jea.JE20210089","ISSN":"1349-9092","issue":"6","journalAbbreviation":"J Epidemiol","language":"eng","page":"265-275","PMID":"34565762","PMCID":"PMC10165217","source":"PubMed","title":"Bias in Odds Ratios From Logistic Regression Methods With Sparse Data Sets","volume":"33","author":[{"family":"Gosho","given":"Masahiko"},{"family":"Ohigashi","given":"Tomohiro"},{"family":"Nagashima","given":"Kengo"},{"family":"Ito","given":"Yuri"},{"family":"Maruo","given":"Kazushi"}],"issued":{"date-parts":[["2023",6,5]]}}}],"schema":"https://github.com/citation-style-language/schema/raw/master/csl-citation.json"} </w:instrText>
      </w:r>
      <w:r w:rsidR="001D0C74" w:rsidRPr="008C43FB">
        <w:rPr>
          <w:lang w:val="en-US"/>
        </w:rPr>
        <w:fldChar w:fldCharType="separate"/>
      </w:r>
      <w:r w:rsidR="00244CA2" w:rsidRPr="008C43FB">
        <w:rPr>
          <w:rFonts w:ascii="Calibri" w:hAnsi="Calibri" w:cs="Calibri"/>
          <w:lang w:val="en-US"/>
        </w:rPr>
        <w:t>[29]</w:t>
      </w:r>
      <w:r w:rsidR="001D0C74" w:rsidRPr="008C43FB">
        <w:rPr>
          <w:lang w:val="en-US"/>
        </w:rPr>
        <w:fldChar w:fldCharType="end"/>
      </w:r>
      <w:r w:rsidR="000C70FF" w:rsidRPr="008C43FB">
        <w:rPr>
          <w:lang w:val="en-US"/>
        </w:rPr>
        <w:t>.</w:t>
      </w:r>
      <w:r w:rsidR="000C70FF" w:rsidRPr="008C43FB">
        <w:rPr>
          <w:rFonts w:cstheme="minorHAnsi"/>
          <w:lang w:val="en-US"/>
        </w:rPr>
        <w:t xml:space="preserve"> </w:t>
      </w:r>
      <w:r w:rsidR="000C70FF" w:rsidRPr="008C43FB">
        <w:rPr>
          <w:lang w:val="en-US"/>
        </w:rPr>
        <w:t>Only CA subgroups where the number of exposed registrants was equal to</w:t>
      </w:r>
      <w:r w:rsidR="00611682" w:rsidRPr="008C43FB">
        <w:rPr>
          <w:lang w:val="en-US"/>
        </w:rPr>
        <w:t xml:space="preserve"> or higher than</w:t>
      </w:r>
      <w:r w:rsidR="000C70FF" w:rsidRPr="008C43FB">
        <w:rPr>
          <w:lang w:val="en-US"/>
        </w:rPr>
        <w:t xml:space="preserve"> </w:t>
      </w:r>
      <w:r w:rsidR="001814CD" w:rsidRPr="008C43FB">
        <w:rPr>
          <w:lang w:val="en-US"/>
        </w:rPr>
        <w:t xml:space="preserve">3 </w:t>
      </w:r>
      <w:r w:rsidR="000C70FF" w:rsidRPr="008C43FB">
        <w:rPr>
          <w:lang w:val="en-US"/>
        </w:rPr>
        <w:t xml:space="preserve">were </w:t>
      </w:r>
      <w:r w:rsidR="00EE4722" w:rsidRPr="008C43FB">
        <w:rPr>
          <w:lang w:val="en-US"/>
        </w:rPr>
        <w:t>analy</w:t>
      </w:r>
      <w:r w:rsidR="00EE4722" w:rsidRPr="00EE4722">
        <w:rPr>
          <w:lang w:val="en-US"/>
        </w:rPr>
        <w:t>z</w:t>
      </w:r>
      <w:r w:rsidR="00EE4722" w:rsidRPr="008C43FB">
        <w:rPr>
          <w:lang w:val="en-US"/>
        </w:rPr>
        <w:t>ed</w:t>
      </w:r>
      <w:r w:rsidR="000C70FF" w:rsidRPr="008C43FB">
        <w:rPr>
          <w:lang w:val="en-US"/>
        </w:rPr>
        <w:t>.</w:t>
      </w:r>
      <w:r w:rsidR="002331B1" w:rsidRPr="008C43FB">
        <w:rPr>
          <w:lang w:val="en-US"/>
        </w:rPr>
        <w:t xml:space="preserve"> </w:t>
      </w:r>
      <w:r w:rsidR="009D445B" w:rsidRPr="008C43FB">
        <w:rPr>
          <w:lang w:val="en-US"/>
        </w:rPr>
        <w:t>P-values were adjusted for multiple testing</w:t>
      </w:r>
      <w:r w:rsidR="009D445B" w:rsidRPr="008C43FB">
        <w:rPr>
          <w:rFonts w:cstheme="minorHAnsi"/>
          <w:lang w:val="en-US"/>
        </w:rPr>
        <w:t xml:space="preserve"> using</w:t>
      </w:r>
      <w:r w:rsidR="009D445B" w:rsidRPr="008C43FB">
        <w:rPr>
          <w:lang w:val="en-US"/>
        </w:rPr>
        <w:t xml:space="preserve"> the False Discovery Rate (FDR) method </w:t>
      </w:r>
      <w:r w:rsidR="009D445B" w:rsidRPr="008C43FB">
        <w:rPr>
          <w:lang w:val="en-US"/>
        </w:rPr>
        <w:fldChar w:fldCharType="begin"/>
      </w:r>
      <w:r w:rsidR="00244CA2" w:rsidRPr="008C43FB">
        <w:rPr>
          <w:lang w:val="en-US"/>
        </w:rPr>
        <w:instrText xml:space="preserve"> ADDIN ZOTERO_ITEM CSL_CITATION {"citationID":"eykCTQWp","properties":{"formattedCitation":"[30]","plainCitation":"[30]","noteIndex":0},"citationItems":[{"id":2974,"uris":["http://zotero.org/users/4535351/items/6WN3ELD3"],"itemData":{"id":2974,"type":"article-journal","abstract":"The common approach to the multiplicity problem calls for controlling the familywise error rate (FWER). This approach, though, has faults, and we point out a few. A different approach to problems of multiple significance testing is presented. It calls for controlling the expected proportion of falsely rejected hypotheses — the false discovery rate. This error rate is equivalent to the FWER when all hypotheses are true but is smaller otherwise. Therefore, in problems where the control of the false discovery rate rather than that of the FWER is desired, there is potential for a gain in power. A simple sequential Bonferronitype procedure is proved to control the false discovery rate for independent test statistics, and a simulation study shows that the gain in power is substantial. The use of the new procedure and the appropriateness of the criterion are illustrated with examples.","container-title":"Journal of the Royal Statistical Society: Series B (Methodological)","DOI":"10.1111/j.2517-6161.1995.tb02031.x","ISSN":"2517-6161","issue":"1","language":"en","license":"© 1995 Royal Statistical Society","note":"_eprint: https://onlinelibrary.wiley.com/doi/pdf/10.1111/j.2517-6161.1995.tb02031.x","page":"289-300","source":"Wiley Online Library","title":"Controlling the False Discovery Rate: A Practical and Powerful Approach to Multiple Testing","title-short":"Controlling the False Discovery Rate","volume":"57","author":[{"family":"Benjamini","given":"Yoav"},{"family":"Hochberg","given":"Yosef"}],"issued":{"date-parts":[["1995"]]}}}],"schema":"https://github.com/citation-style-language/schema/raw/master/csl-citation.json"} </w:instrText>
      </w:r>
      <w:r w:rsidR="009D445B" w:rsidRPr="008C43FB">
        <w:rPr>
          <w:lang w:val="en-US"/>
        </w:rPr>
        <w:fldChar w:fldCharType="separate"/>
      </w:r>
      <w:r w:rsidR="00244CA2" w:rsidRPr="008C43FB">
        <w:rPr>
          <w:rFonts w:ascii="Calibri" w:hAnsi="Calibri" w:cs="Calibri"/>
          <w:lang w:val="en-US"/>
        </w:rPr>
        <w:t>[30]</w:t>
      </w:r>
      <w:r w:rsidR="009D445B" w:rsidRPr="008C43FB">
        <w:rPr>
          <w:lang w:val="en-US"/>
        </w:rPr>
        <w:fldChar w:fldCharType="end"/>
      </w:r>
      <w:r w:rsidR="00BB3E8A" w:rsidRPr="008C43FB">
        <w:rPr>
          <w:rFonts w:cstheme="minorHAnsi"/>
          <w:lang w:val="en-US"/>
        </w:rPr>
        <w:t xml:space="preserve"> </w:t>
      </w:r>
      <w:r w:rsidR="008128BC" w:rsidRPr="008C43FB">
        <w:rPr>
          <w:rFonts w:cstheme="minorHAnsi"/>
          <w:lang w:val="en-US"/>
        </w:rPr>
        <w:t xml:space="preserve">when more than 10 </w:t>
      </w:r>
      <w:r w:rsidR="00BB3E8A" w:rsidRPr="008C43FB">
        <w:rPr>
          <w:rFonts w:cstheme="minorHAnsi"/>
          <w:lang w:val="en-US"/>
        </w:rPr>
        <w:t>tests were performed</w:t>
      </w:r>
      <w:r w:rsidR="009D445B" w:rsidRPr="008C43FB">
        <w:rPr>
          <w:lang w:val="en-US"/>
        </w:rPr>
        <w:t>.</w:t>
      </w:r>
      <w:r w:rsidRPr="008C43FB">
        <w:rPr>
          <w:rFonts w:cstheme="minorHAnsi"/>
          <w:lang w:val="en-US"/>
        </w:rPr>
        <w:t xml:space="preserve"> </w:t>
      </w:r>
    </w:p>
    <w:p w14:paraId="0F737C2D" w14:textId="7084766E" w:rsidR="008F32B8" w:rsidRPr="008C43FB" w:rsidRDefault="008F32B8" w:rsidP="008F32B8">
      <w:pPr>
        <w:pStyle w:val="Paragraphedeliste"/>
        <w:numPr>
          <w:ilvl w:val="2"/>
          <w:numId w:val="12"/>
        </w:numPr>
        <w:rPr>
          <w:rFonts w:asciiTheme="minorHAnsi" w:hAnsiTheme="minorHAnsi" w:cstheme="majorHAnsi"/>
          <w:bCs/>
          <w:color w:val="2F5496" w:themeColor="accent1" w:themeShade="BF"/>
          <w:kern w:val="36"/>
          <w:sz w:val="28"/>
          <w:szCs w:val="32"/>
          <w:lang w:val="en-US"/>
        </w:rPr>
      </w:pPr>
      <w:r w:rsidRPr="008C43FB">
        <w:rPr>
          <w:rFonts w:asciiTheme="minorHAnsi" w:hAnsiTheme="minorHAnsi" w:cstheme="majorHAnsi"/>
          <w:bCs/>
          <w:color w:val="2F5496" w:themeColor="accent1" w:themeShade="BF"/>
          <w:kern w:val="36"/>
          <w:sz w:val="28"/>
          <w:szCs w:val="32"/>
          <w:lang w:val="en-US"/>
        </w:rPr>
        <w:lastRenderedPageBreak/>
        <w:t>Sensitivity analyses</w:t>
      </w:r>
    </w:p>
    <w:p w14:paraId="5C0A41C0" w14:textId="57EAEAB3" w:rsidR="00F86261" w:rsidRPr="008C43FB" w:rsidRDefault="0066679A" w:rsidP="00612132">
      <w:pPr>
        <w:spacing w:line="360" w:lineRule="auto"/>
        <w:jc w:val="both"/>
        <w:rPr>
          <w:rFonts w:cstheme="minorHAnsi"/>
          <w:lang w:val="en-US"/>
        </w:rPr>
      </w:pPr>
      <w:bookmarkStart w:id="11" w:name="_Hlk188626773"/>
      <w:r w:rsidRPr="008C43FB">
        <w:rPr>
          <w:rFonts w:cstheme="minorHAnsi"/>
          <w:lang w:val="en-US"/>
        </w:rPr>
        <w:t>F</w:t>
      </w:r>
      <w:r w:rsidR="00A949EA" w:rsidRPr="008C43FB">
        <w:rPr>
          <w:rFonts w:cstheme="minorHAnsi"/>
          <w:lang w:val="en-US"/>
        </w:rPr>
        <w:t xml:space="preserve">or the signal detection analyses exploring the association between maternal MS and specific CA subgroup, </w:t>
      </w:r>
      <w:r w:rsidR="004C695E" w:rsidRPr="008C43FB">
        <w:rPr>
          <w:rFonts w:cstheme="minorHAnsi"/>
          <w:lang w:val="en-US"/>
        </w:rPr>
        <w:t xml:space="preserve">we excluded </w:t>
      </w:r>
      <w:r w:rsidRPr="008C43FB">
        <w:rPr>
          <w:rFonts w:cstheme="minorHAnsi"/>
          <w:lang w:val="en-US"/>
        </w:rPr>
        <w:t>the Poland registry</w:t>
      </w:r>
      <w:r w:rsidR="002A14A3" w:rsidRPr="008C43FB">
        <w:rPr>
          <w:rFonts w:cstheme="minorHAnsi"/>
          <w:lang w:val="en-US"/>
        </w:rPr>
        <w:t xml:space="preserve">, </w:t>
      </w:r>
      <w:r w:rsidR="002A14A3" w:rsidRPr="008C43FB">
        <w:rPr>
          <w:lang w:val="en-US"/>
        </w:rPr>
        <w:t xml:space="preserve">due to concerns about underreporting and data representativeness, as it accounts for 54% of all cases but shows low </w:t>
      </w:r>
      <w:r w:rsidR="00B860D0" w:rsidRPr="008C43FB">
        <w:rPr>
          <w:lang w:val="en-US"/>
        </w:rPr>
        <w:t>CA</w:t>
      </w:r>
      <w:r w:rsidR="002A14A3" w:rsidRPr="008C43FB">
        <w:rPr>
          <w:lang w:val="en-US"/>
        </w:rPr>
        <w:t xml:space="preserve"> prevalence (1.7%) and few exposed cases (&lt;3).</w:t>
      </w:r>
      <w:r w:rsidR="00B860D0" w:rsidRPr="008C43FB">
        <w:rPr>
          <w:rFonts w:cstheme="minorHAnsi"/>
          <w:lang w:val="en-US"/>
        </w:rPr>
        <w:t xml:space="preserve"> </w:t>
      </w:r>
    </w:p>
    <w:p w14:paraId="57C8085B" w14:textId="77777777" w:rsidR="00763ACD" w:rsidRPr="008C43FB" w:rsidRDefault="000A2644" w:rsidP="00612132">
      <w:pPr>
        <w:spacing w:line="360" w:lineRule="auto"/>
        <w:jc w:val="both"/>
        <w:rPr>
          <w:rFonts w:cstheme="minorHAnsi"/>
          <w:lang w:val="en-US"/>
        </w:rPr>
      </w:pPr>
      <w:r w:rsidRPr="008C43FB">
        <w:rPr>
          <w:rFonts w:cstheme="minorHAnsi"/>
          <w:lang w:val="en-US"/>
        </w:rPr>
        <w:t>A 2-sided 5% level of significance was applied. All statistical analyses were conducted in R studio version 2023.03.1.</w:t>
      </w:r>
      <w:r w:rsidR="007B4627" w:rsidRPr="008C43FB">
        <w:rPr>
          <w:rFonts w:cstheme="minorHAnsi"/>
          <w:lang w:val="en-US"/>
        </w:rPr>
        <w:t xml:space="preserve"> </w:t>
      </w:r>
    </w:p>
    <w:p w14:paraId="57C8085C" w14:textId="77777777" w:rsidR="00150A90" w:rsidRPr="008C43FB" w:rsidRDefault="000A2644" w:rsidP="00A46DFC">
      <w:pPr>
        <w:pStyle w:val="Titre2"/>
        <w:numPr>
          <w:ilvl w:val="0"/>
          <w:numId w:val="12"/>
        </w:numPr>
        <w:rPr>
          <w:lang w:val="en-US"/>
        </w:rPr>
      </w:pPr>
      <w:bookmarkStart w:id="12" w:name="_Hlk224826922"/>
      <w:bookmarkEnd w:id="11"/>
      <w:r w:rsidRPr="008C43FB">
        <w:rPr>
          <w:lang w:val="en-US"/>
        </w:rPr>
        <w:t xml:space="preserve">Results </w:t>
      </w:r>
    </w:p>
    <w:bookmarkEnd w:id="12"/>
    <w:p w14:paraId="57C8085D" w14:textId="77777777" w:rsidR="00150A90" w:rsidRPr="008C43FB" w:rsidRDefault="000A2644" w:rsidP="00687DF5">
      <w:pPr>
        <w:pStyle w:val="Titre2"/>
        <w:rPr>
          <w:lang w:val="en-US"/>
        </w:rPr>
      </w:pPr>
      <w:r w:rsidRPr="008C43FB">
        <w:rPr>
          <w:lang w:val="en-US"/>
        </w:rPr>
        <w:t>Study population</w:t>
      </w:r>
    </w:p>
    <w:p w14:paraId="57C8085E" w14:textId="77E31630" w:rsidR="00642487" w:rsidRPr="008C43FB" w:rsidRDefault="000A2644" w:rsidP="00642487">
      <w:pPr>
        <w:spacing w:line="360" w:lineRule="auto"/>
        <w:jc w:val="both"/>
        <w:rPr>
          <w:rFonts w:cstheme="minorHAnsi"/>
          <w:lang w:val="en-US"/>
        </w:rPr>
      </w:pPr>
      <w:r w:rsidRPr="008C43FB">
        <w:rPr>
          <w:rFonts w:cstheme="minorHAnsi"/>
          <w:lang w:val="en-US"/>
        </w:rPr>
        <w:t>The initial study population consisted of 254</w:t>
      </w:r>
      <w:r w:rsidR="00412D56" w:rsidRPr="008C43FB">
        <w:rPr>
          <w:rFonts w:cstheme="minorHAnsi"/>
          <w:lang w:val="en-US"/>
        </w:rPr>
        <w:t>,</w:t>
      </w:r>
      <w:r w:rsidRPr="008C43FB">
        <w:rPr>
          <w:rFonts w:cstheme="minorHAnsi"/>
          <w:lang w:val="en-US"/>
        </w:rPr>
        <w:t xml:space="preserve">146 registrants affected by </w:t>
      </w:r>
      <w:r w:rsidR="004676A7" w:rsidRPr="008C43FB">
        <w:rPr>
          <w:rFonts w:cstheme="minorHAnsi"/>
          <w:lang w:val="en-US"/>
        </w:rPr>
        <w:t>CA</w:t>
      </w:r>
      <w:r w:rsidRPr="008C43FB">
        <w:rPr>
          <w:rFonts w:cstheme="minorHAnsi"/>
          <w:lang w:val="en-US"/>
        </w:rPr>
        <w:t xml:space="preserve">, </w:t>
      </w:r>
      <w:r w:rsidR="00615203" w:rsidRPr="008C43FB">
        <w:rPr>
          <w:rFonts w:cstheme="minorHAnsi"/>
          <w:lang w:val="en-US"/>
        </w:rPr>
        <w:t xml:space="preserve">from a population of </w:t>
      </w:r>
      <w:r w:rsidR="00615203" w:rsidRPr="00EE4722">
        <w:rPr>
          <w:rFonts w:ascii="Arial" w:eastAsia="Times New Roman" w:hAnsi="Arial" w:cs="Arial"/>
          <w:color w:val="000000"/>
          <w:sz w:val="20"/>
          <w:szCs w:val="20"/>
          <w:lang w:val="en-US" w:eastAsia="fr-FR"/>
        </w:rPr>
        <w:t>14 301 228</w:t>
      </w:r>
      <w:r w:rsidR="00615203" w:rsidRPr="008C43FB">
        <w:rPr>
          <w:rFonts w:cstheme="minorHAnsi"/>
          <w:lang w:val="en-US"/>
        </w:rPr>
        <w:t xml:space="preserve"> births in </w:t>
      </w:r>
      <w:r w:rsidRPr="008C43FB">
        <w:rPr>
          <w:rFonts w:cstheme="minorHAnsi"/>
          <w:lang w:val="en-US"/>
        </w:rPr>
        <w:t>15 different registries across Europe and one healthcare database</w:t>
      </w:r>
      <w:r w:rsidR="0092472A" w:rsidRPr="008C43FB">
        <w:rPr>
          <w:rFonts w:cstheme="minorHAnsi"/>
          <w:lang w:val="en-US"/>
        </w:rPr>
        <w:t>,</w:t>
      </w:r>
      <w:r w:rsidRPr="008C43FB">
        <w:rPr>
          <w:rFonts w:cstheme="minorHAnsi"/>
          <w:lang w:val="en-US"/>
        </w:rPr>
        <w:t xml:space="preserve"> over a </w:t>
      </w:r>
      <w:r w:rsidR="00803CB9" w:rsidRPr="008C43FB">
        <w:rPr>
          <w:rFonts w:cstheme="minorHAnsi"/>
          <w:lang w:val="en-US"/>
        </w:rPr>
        <w:t>2</w:t>
      </w:r>
      <w:r w:rsidR="003B71F4" w:rsidRPr="008C43FB">
        <w:rPr>
          <w:rFonts w:cstheme="minorHAnsi"/>
          <w:lang w:val="en-US"/>
        </w:rPr>
        <w:t>6</w:t>
      </w:r>
      <w:r w:rsidR="00803CB9" w:rsidRPr="008C43FB">
        <w:rPr>
          <w:rFonts w:cstheme="minorHAnsi"/>
          <w:lang w:val="en-US"/>
        </w:rPr>
        <w:t>-year</w:t>
      </w:r>
      <w:r w:rsidRPr="008C43FB">
        <w:rPr>
          <w:rFonts w:cstheme="minorHAnsi"/>
          <w:lang w:val="en-US"/>
        </w:rPr>
        <w:t xml:space="preserve"> period (1995-2020)</w:t>
      </w:r>
      <w:r w:rsidR="000A0A18" w:rsidRPr="008C43FB">
        <w:rPr>
          <w:rFonts w:cstheme="minorHAnsi"/>
          <w:lang w:val="en-US"/>
        </w:rPr>
        <w:t xml:space="preserve"> </w:t>
      </w:r>
      <w:r w:rsidR="00FA0DC3" w:rsidRPr="008C43FB">
        <w:rPr>
          <w:rFonts w:cstheme="minorHAnsi"/>
          <w:lang w:val="en-US"/>
        </w:rPr>
        <w:t>(</w:t>
      </w:r>
      <w:r w:rsidR="007506D1" w:rsidRPr="008C43FB">
        <w:rPr>
          <w:sz w:val="23"/>
          <w:szCs w:val="23"/>
          <w:shd w:val="clear" w:color="auto" w:fill="FFFFFF"/>
          <w:lang w:val="en-US"/>
        </w:rPr>
        <w:t>supplementary Table 1</w:t>
      </w:r>
      <w:r w:rsidR="00FA0DC3" w:rsidRPr="008C43FB">
        <w:rPr>
          <w:rFonts w:cstheme="minorHAnsi"/>
          <w:lang w:val="en-US"/>
        </w:rPr>
        <w:t>)</w:t>
      </w:r>
      <w:r w:rsidR="00803CB9" w:rsidRPr="008C43FB">
        <w:rPr>
          <w:rFonts w:cstheme="minorHAnsi"/>
          <w:lang w:val="en-US"/>
        </w:rPr>
        <w:t>.</w:t>
      </w:r>
      <w:r w:rsidRPr="008C43FB">
        <w:rPr>
          <w:rFonts w:cstheme="minorHAnsi"/>
          <w:lang w:val="en-US"/>
        </w:rPr>
        <w:t xml:space="preserve"> After applying exclusion criteria, the final dataset included </w:t>
      </w:r>
      <w:r w:rsidR="00A919CA" w:rsidRPr="008C43FB">
        <w:rPr>
          <w:rFonts w:cstheme="minorHAnsi"/>
          <w:lang w:val="en-US"/>
        </w:rPr>
        <w:t>210</w:t>
      </w:r>
      <w:r w:rsidR="00412D56" w:rsidRPr="008C43FB">
        <w:rPr>
          <w:rFonts w:cstheme="minorHAnsi"/>
          <w:lang w:val="en-US"/>
        </w:rPr>
        <w:t>,</w:t>
      </w:r>
      <w:r w:rsidR="00A919CA" w:rsidRPr="008C43FB">
        <w:rPr>
          <w:rFonts w:cstheme="minorHAnsi"/>
          <w:lang w:val="en-US"/>
        </w:rPr>
        <w:t>223</w:t>
      </w:r>
      <w:r w:rsidRPr="008C43FB">
        <w:rPr>
          <w:rFonts w:cstheme="minorHAnsi"/>
          <w:lang w:val="en-US"/>
        </w:rPr>
        <w:t xml:space="preserve"> registrants (Figure 1). </w:t>
      </w:r>
      <w:r w:rsidR="008C02F7" w:rsidRPr="008C43FB">
        <w:rPr>
          <w:rFonts w:cstheme="minorHAnsi"/>
          <w:lang w:val="en-US"/>
        </w:rPr>
        <w:t xml:space="preserve">This population </w:t>
      </w:r>
      <w:r w:rsidR="004859CE" w:rsidRPr="008C43FB">
        <w:rPr>
          <w:rFonts w:cstheme="minorHAnsi"/>
          <w:lang w:val="en-US"/>
        </w:rPr>
        <w:t xml:space="preserve">comprised </w:t>
      </w:r>
      <w:r w:rsidR="00A919CA" w:rsidRPr="008C43FB">
        <w:rPr>
          <w:rFonts w:cstheme="minorHAnsi"/>
          <w:lang w:val="en-US"/>
        </w:rPr>
        <w:t>181</w:t>
      </w:r>
      <w:r w:rsidR="00412D56" w:rsidRPr="008C43FB">
        <w:rPr>
          <w:rFonts w:cstheme="minorHAnsi"/>
          <w:lang w:val="en-US"/>
        </w:rPr>
        <w:t>,</w:t>
      </w:r>
      <w:r w:rsidR="00C60528" w:rsidRPr="008C43FB">
        <w:rPr>
          <w:rFonts w:cstheme="minorHAnsi"/>
          <w:lang w:val="en-US"/>
        </w:rPr>
        <w:t xml:space="preserve">335 </w:t>
      </w:r>
      <w:r w:rsidR="003D307C" w:rsidRPr="008C43FB">
        <w:rPr>
          <w:rFonts w:cstheme="minorHAnsi"/>
          <w:lang w:val="en-US"/>
        </w:rPr>
        <w:t xml:space="preserve">registrants </w:t>
      </w:r>
      <w:r w:rsidR="008C02F7" w:rsidRPr="008C43FB">
        <w:rPr>
          <w:rFonts w:cstheme="minorHAnsi"/>
          <w:lang w:val="en-US"/>
        </w:rPr>
        <w:t xml:space="preserve">with </w:t>
      </w:r>
      <w:r w:rsidR="003D307C" w:rsidRPr="008C43FB">
        <w:rPr>
          <w:rFonts w:cstheme="minorHAnsi"/>
          <w:lang w:val="en-US"/>
        </w:rPr>
        <w:t>n</w:t>
      </w:r>
      <w:r w:rsidR="008C02F7" w:rsidRPr="008C43FB">
        <w:rPr>
          <w:rFonts w:cstheme="minorHAnsi"/>
          <w:lang w:val="en-US"/>
        </w:rPr>
        <w:t>on-genetic CA and 28</w:t>
      </w:r>
      <w:r w:rsidR="00412D56" w:rsidRPr="008C43FB">
        <w:rPr>
          <w:rFonts w:cstheme="minorHAnsi"/>
          <w:lang w:val="en-US"/>
        </w:rPr>
        <w:t>,</w:t>
      </w:r>
      <w:r w:rsidR="00C60528" w:rsidRPr="008C43FB">
        <w:rPr>
          <w:rFonts w:cstheme="minorHAnsi"/>
          <w:lang w:val="en-US"/>
        </w:rPr>
        <w:t xml:space="preserve">888 </w:t>
      </w:r>
      <w:r w:rsidR="008C02F7" w:rsidRPr="008C43FB">
        <w:rPr>
          <w:rFonts w:cstheme="minorHAnsi"/>
          <w:lang w:val="en-US"/>
        </w:rPr>
        <w:t xml:space="preserve">with genetic CA. Among these, </w:t>
      </w:r>
      <w:r w:rsidR="009A7A65" w:rsidRPr="008C43FB">
        <w:rPr>
          <w:rFonts w:cstheme="minorHAnsi"/>
          <w:lang w:val="en-US"/>
        </w:rPr>
        <w:t xml:space="preserve">86 </w:t>
      </w:r>
      <w:r w:rsidR="008C02F7" w:rsidRPr="008C43FB">
        <w:rPr>
          <w:rFonts w:cstheme="minorHAnsi"/>
          <w:lang w:val="en-US"/>
        </w:rPr>
        <w:t xml:space="preserve">and </w:t>
      </w:r>
      <w:r w:rsidR="009A7A65" w:rsidRPr="008C43FB">
        <w:rPr>
          <w:rFonts w:cstheme="minorHAnsi"/>
          <w:lang w:val="en-US"/>
        </w:rPr>
        <w:t xml:space="preserve">22 </w:t>
      </w:r>
      <w:r w:rsidR="008C02F7" w:rsidRPr="008C43FB">
        <w:rPr>
          <w:rFonts w:cstheme="minorHAnsi"/>
          <w:lang w:val="en-US"/>
        </w:rPr>
        <w:t xml:space="preserve">registrants, respectively, had mothers who were </w:t>
      </w:r>
      <w:r w:rsidR="00556575" w:rsidRPr="008C43FB">
        <w:rPr>
          <w:rFonts w:cstheme="minorHAnsi"/>
          <w:lang w:val="en-US"/>
        </w:rPr>
        <w:t xml:space="preserve">identified </w:t>
      </w:r>
      <w:r w:rsidR="008C02F7" w:rsidRPr="008C43FB">
        <w:rPr>
          <w:rFonts w:cstheme="minorHAnsi"/>
          <w:lang w:val="en-US"/>
        </w:rPr>
        <w:t>with MS during or before pregnancy.</w:t>
      </w:r>
    </w:p>
    <w:p w14:paraId="57C8085F" w14:textId="77777777" w:rsidR="008C02F7" w:rsidRPr="008C43FB" w:rsidRDefault="000A2644" w:rsidP="00687DF5">
      <w:pPr>
        <w:pStyle w:val="Titre2"/>
        <w:rPr>
          <w:lang w:val="en-US"/>
        </w:rPr>
      </w:pPr>
      <w:r w:rsidRPr="008C43FB">
        <w:rPr>
          <w:lang w:val="en-US"/>
        </w:rPr>
        <w:t>Characteristics of the stud</w:t>
      </w:r>
      <w:r w:rsidR="00011963" w:rsidRPr="008C43FB">
        <w:rPr>
          <w:lang w:val="en-US"/>
        </w:rPr>
        <w:t>y</w:t>
      </w:r>
      <w:r w:rsidRPr="008C43FB">
        <w:rPr>
          <w:lang w:val="en-US"/>
        </w:rPr>
        <w:t xml:space="preserve"> population</w:t>
      </w:r>
    </w:p>
    <w:p w14:paraId="57C80860" w14:textId="71FE6AA4" w:rsidR="00BF648A" w:rsidRPr="008C43FB" w:rsidRDefault="000A2644" w:rsidP="00BF648A">
      <w:pPr>
        <w:spacing w:line="360" w:lineRule="auto"/>
        <w:jc w:val="both"/>
        <w:rPr>
          <w:rFonts w:cstheme="minorHAnsi"/>
          <w:lang w:val="en-US"/>
        </w:rPr>
      </w:pPr>
      <w:r w:rsidRPr="008C43FB">
        <w:rPr>
          <w:rFonts w:cstheme="minorHAnsi"/>
          <w:lang w:val="en-US"/>
        </w:rPr>
        <w:t>We identified 1</w:t>
      </w:r>
      <w:r w:rsidR="003F3A18" w:rsidRPr="008C43FB">
        <w:rPr>
          <w:rFonts w:cstheme="minorHAnsi"/>
          <w:lang w:val="en-US"/>
        </w:rPr>
        <w:t>08</w:t>
      </w:r>
      <w:r w:rsidRPr="008C43FB">
        <w:rPr>
          <w:rFonts w:cstheme="minorHAnsi"/>
          <w:lang w:val="en-US"/>
        </w:rPr>
        <w:t xml:space="preserve"> registrants </w:t>
      </w:r>
      <w:r w:rsidR="00412D56" w:rsidRPr="008C43FB">
        <w:rPr>
          <w:rFonts w:cstheme="minorHAnsi"/>
          <w:lang w:val="en-US"/>
        </w:rPr>
        <w:t>with</w:t>
      </w:r>
      <w:r w:rsidRPr="008C43FB">
        <w:rPr>
          <w:rFonts w:cstheme="minorHAnsi"/>
          <w:lang w:val="en-US"/>
        </w:rPr>
        <w:t xml:space="preserve"> </w:t>
      </w:r>
      <w:r w:rsidR="00796E70" w:rsidRPr="008C43FB">
        <w:rPr>
          <w:rFonts w:cstheme="minorHAnsi"/>
          <w:lang w:val="en-US"/>
        </w:rPr>
        <w:t xml:space="preserve">maternal </w:t>
      </w:r>
      <w:r w:rsidRPr="008C43FB">
        <w:rPr>
          <w:rFonts w:cstheme="minorHAnsi"/>
          <w:lang w:val="en-US"/>
        </w:rPr>
        <w:t>MS.</w:t>
      </w:r>
      <w:r w:rsidR="00BE23E8" w:rsidRPr="008C43FB">
        <w:rPr>
          <w:rFonts w:cstheme="minorHAnsi"/>
          <w:lang w:val="en-US"/>
        </w:rPr>
        <w:t xml:space="preserve"> </w:t>
      </w:r>
      <w:r w:rsidR="00A05A4F" w:rsidRPr="008C43FB">
        <w:rPr>
          <w:rFonts w:cstheme="minorHAnsi"/>
          <w:lang w:val="en-US"/>
        </w:rPr>
        <w:t>Most of the</w:t>
      </w:r>
      <w:r w:rsidR="00BE23E8" w:rsidRPr="008C43FB">
        <w:rPr>
          <w:rFonts w:cstheme="minorHAnsi"/>
          <w:lang w:val="en-US"/>
        </w:rPr>
        <w:t xml:space="preserve"> registrants exposed to </w:t>
      </w:r>
      <w:r w:rsidR="002331B1" w:rsidRPr="008C43FB">
        <w:rPr>
          <w:rFonts w:cstheme="minorHAnsi"/>
          <w:lang w:val="en-US"/>
        </w:rPr>
        <w:t xml:space="preserve">maternal </w:t>
      </w:r>
      <w:r w:rsidR="00BE23E8" w:rsidRPr="008C43FB">
        <w:rPr>
          <w:rFonts w:cstheme="minorHAnsi"/>
          <w:lang w:val="en-US"/>
        </w:rPr>
        <w:t xml:space="preserve">MS in our study came from the registry of Paris, France (n=17, 15.7%) followed by </w:t>
      </w:r>
      <w:r w:rsidR="0080139A" w:rsidRPr="008C43FB">
        <w:rPr>
          <w:rFonts w:cstheme="minorHAnsi"/>
          <w:lang w:val="en-US"/>
        </w:rPr>
        <w:t xml:space="preserve">Northern </w:t>
      </w:r>
      <w:r w:rsidR="00BE23E8" w:rsidRPr="008C43FB">
        <w:rPr>
          <w:rFonts w:cstheme="minorHAnsi"/>
          <w:lang w:val="en-US"/>
        </w:rPr>
        <w:t xml:space="preserve">Netherlands (n=16, 14.8%). </w:t>
      </w:r>
      <w:r w:rsidR="00A05A4F" w:rsidRPr="008C43FB">
        <w:rPr>
          <w:rFonts w:cstheme="minorHAnsi"/>
          <w:lang w:val="en-US"/>
        </w:rPr>
        <w:t>T</w:t>
      </w:r>
      <w:r w:rsidRPr="008C43FB">
        <w:rPr>
          <w:rFonts w:cstheme="minorHAnsi"/>
          <w:lang w:val="en-US"/>
        </w:rPr>
        <w:t>he largest proportion of registrants exposed to MS was recorded between 2016 and 2020 (n=42</w:t>
      </w:r>
      <w:r w:rsidR="00D83303" w:rsidRPr="008C43FB">
        <w:rPr>
          <w:rFonts w:cstheme="minorHAnsi"/>
          <w:lang w:val="en-US"/>
        </w:rPr>
        <w:t>, 38.9%</w:t>
      </w:r>
      <w:r w:rsidRPr="008C43FB">
        <w:rPr>
          <w:rFonts w:cstheme="minorHAnsi"/>
          <w:lang w:val="en-US"/>
        </w:rPr>
        <w:t xml:space="preserve">). </w:t>
      </w:r>
      <w:r w:rsidR="00A05A4F" w:rsidRPr="008C43FB">
        <w:rPr>
          <w:rFonts w:cstheme="minorHAnsi"/>
          <w:lang w:val="en-US"/>
        </w:rPr>
        <w:t>M</w:t>
      </w:r>
      <w:r w:rsidRPr="008C43FB">
        <w:rPr>
          <w:rFonts w:cstheme="minorHAnsi"/>
          <w:lang w:val="en-US"/>
        </w:rPr>
        <w:t>ost women with MS were between 30 and 34 years old (n=</w:t>
      </w:r>
      <w:r w:rsidR="00D83303" w:rsidRPr="008C43FB">
        <w:rPr>
          <w:rFonts w:cstheme="minorHAnsi"/>
          <w:lang w:val="en-US"/>
        </w:rPr>
        <w:t>4</w:t>
      </w:r>
      <w:r w:rsidR="00A05A4F" w:rsidRPr="008C43FB">
        <w:rPr>
          <w:rFonts w:cstheme="minorHAnsi"/>
          <w:lang w:val="en-US"/>
        </w:rPr>
        <w:t>8</w:t>
      </w:r>
      <w:r w:rsidR="00D83303" w:rsidRPr="008C43FB">
        <w:rPr>
          <w:rFonts w:cstheme="minorHAnsi"/>
          <w:lang w:val="en-US"/>
        </w:rPr>
        <w:t>, 4</w:t>
      </w:r>
      <w:r w:rsidR="00A05A4F" w:rsidRPr="008C43FB">
        <w:rPr>
          <w:rFonts w:cstheme="minorHAnsi"/>
          <w:lang w:val="en-US"/>
        </w:rPr>
        <w:t>4.9</w:t>
      </w:r>
      <w:r w:rsidR="00D83303" w:rsidRPr="008C43FB">
        <w:rPr>
          <w:rFonts w:cstheme="minorHAnsi"/>
          <w:lang w:val="en-US"/>
        </w:rPr>
        <w:t>%</w:t>
      </w:r>
      <w:r w:rsidRPr="008C43FB">
        <w:rPr>
          <w:rFonts w:cstheme="minorHAnsi"/>
          <w:lang w:val="en-US"/>
        </w:rPr>
        <w:t>)</w:t>
      </w:r>
      <w:r w:rsidR="00DB2ABE" w:rsidRPr="008C43FB">
        <w:rPr>
          <w:rFonts w:cstheme="minorHAnsi"/>
          <w:lang w:val="en-US"/>
        </w:rPr>
        <w:t xml:space="preserve"> at the time of birth</w:t>
      </w:r>
      <w:r w:rsidR="009A7A65" w:rsidRPr="008C43FB">
        <w:rPr>
          <w:rFonts w:cstheme="minorHAnsi"/>
          <w:lang w:val="en-US"/>
        </w:rPr>
        <w:t>.</w:t>
      </w:r>
      <w:r w:rsidRPr="008C43FB">
        <w:rPr>
          <w:rFonts w:cstheme="minorHAnsi"/>
          <w:lang w:val="en-US"/>
        </w:rPr>
        <w:t xml:space="preserve"> Additional details are provided in Table 1.</w:t>
      </w:r>
    </w:p>
    <w:p w14:paraId="57C80861" w14:textId="75D3C279" w:rsidR="005F0899" w:rsidRPr="008C43FB" w:rsidRDefault="000A2644" w:rsidP="00642487">
      <w:pPr>
        <w:spacing w:line="360" w:lineRule="auto"/>
        <w:jc w:val="both"/>
        <w:rPr>
          <w:rFonts w:cstheme="minorHAnsi"/>
          <w:lang w:val="en-US"/>
        </w:rPr>
      </w:pPr>
      <w:r w:rsidRPr="008C43FB">
        <w:rPr>
          <w:rFonts w:cstheme="minorHAnsi"/>
          <w:lang w:val="en-US"/>
        </w:rPr>
        <w:t xml:space="preserve">Of the 108 registrants </w:t>
      </w:r>
      <w:r w:rsidR="00D15B2C" w:rsidRPr="008C43FB">
        <w:rPr>
          <w:rFonts w:cstheme="minorHAnsi"/>
          <w:lang w:val="en-US"/>
        </w:rPr>
        <w:t>with</w:t>
      </w:r>
      <w:r w:rsidR="002331B1" w:rsidRPr="008C43FB">
        <w:rPr>
          <w:rFonts w:cstheme="minorHAnsi"/>
          <w:lang w:val="en-US"/>
        </w:rPr>
        <w:t xml:space="preserve"> maternal</w:t>
      </w:r>
      <w:r w:rsidRPr="008C43FB">
        <w:rPr>
          <w:rFonts w:cstheme="minorHAnsi"/>
          <w:lang w:val="en-US"/>
        </w:rPr>
        <w:t xml:space="preserve"> MS, </w:t>
      </w:r>
      <w:r w:rsidR="001D42D1" w:rsidRPr="008C43FB">
        <w:rPr>
          <w:rFonts w:cstheme="minorHAnsi"/>
          <w:lang w:val="en-US"/>
        </w:rPr>
        <w:t xml:space="preserve">65 </w:t>
      </w:r>
      <w:r w:rsidRPr="008C43FB">
        <w:rPr>
          <w:rFonts w:cstheme="minorHAnsi"/>
          <w:lang w:val="en-US"/>
        </w:rPr>
        <w:t>reported taking at least one medication</w:t>
      </w:r>
      <w:r w:rsidR="001F4AD2" w:rsidRPr="008C43FB">
        <w:rPr>
          <w:rFonts w:cstheme="minorHAnsi"/>
          <w:lang w:val="en-US"/>
        </w:rPr>
        <w:t xml:space="preserve">, </w:t>
      </w:r>
      <w:r w:rsidR="00D15B2C" w:rsidRPr="008C43FB">
        <w:rPr>
          <w:rFonts w:cstheme="minorHAnsi"/>
          <w:lang w:val="en-US"/>
        </w:rPr>
        <w:t>of which 3</w:t>
      </w:r>
      <w:r w:rsidR="00B87E09" w:rsidRPr="008C43FB">
        <w:rPr>
          <w:rFonts w:cstheme="minorHAnsi"/>
          <w:lang w:val="en-US"/>
        </w:rPr>
        <w:t>5</w:t>
      </w:r>
      <w:r w:rsidR="00D15B2C" w:rsidRPr="008C43FB">
        <w:rPr>
          <w:rFonts w:cstheme="minorHAnsi"/>
          <w:lang w:val="en-US"/>
        </w:rPr>
        <w:t xml:space="preserve"> reported taking at least 1 MS-DMT</w:t>
      </w:r>
      <w:r w:rsidR="00D76D18" w:rsidRPr="008C43FB">
        <w:rPr>
          <w:rFonts w:cstheme="minorHAnsi"/>
          <w:lang w:val="en-US"/>
        </w:rPr>
        <w:t xml:space="preserve"> (</w:t>
      </w:r>
      <w:r w:rsidR="00D66D37" w:rsidRPr="008C43FB">
        <w:rPr>
          <w:rFonts w:cstheme="minorHAnsi"/>
          <w:lang w:val="en-US"/>
        </w:rPr>
        <w:t xml:space="preserve">specific and </w:t>
      </w:r>
      <w:r w:rsidR="00C870B3" w:rsidRPr="008C43FB">
        <w:rPr>
          <w:rFonts w:cstheme="minorHAnsi"/>
          <w:lang w:val="en-US"/>
        </w:rPr>
        <w:t>non-specific</w:t>
      </w:r>
      <w:r w:rsidR="00D76D18" w:rsidRPr="008C43FB">
        <w:rPr>
          <w:rFonts w:cstheme="minorHAnsi"/>
          <w:lang w:val="en-US"/>
        </w:rPr>
        <w:t>)</w:t>
      </w:r>
      <w:r w:rsidR="00E6318F" w:rsidRPr="008C43FB">
        <w:rPr>
          <w:rFonts w:cstheme="minorHAnsi"/>
          <w:lang w:val="en-US"/>
        </w:rPr>
        <w:t xml:space="preserve">, and among these, </w:t>
      </w:r>
      <w:r w:rsidR="00D15B2C" w:rsidRPr="008C43FB">
        <w:rPr>
          <w:rFonts w:cstheme="minorHAnsi"/>
          <w:lang w:val="en-US"/>
        </w:rPr>
        <w:t xml:space="preserve">31 reported taking at least 1 MS-specific DMT </w:t>
      </w:r>
      <w:r w:rsidR="00D76D18" w:rsidRPr="008C43FB">
        <w:rPr>
          <w:rFonts w:cstheme="minorHAnsi"/>
          <w:lang w:val="en-US"/>
        </w:rPr>
        <w:t xml:space="preserve">(indicated only for MS) </w:t>
      </w:r>
      <w:r w:rsidR="00A05A4F" w:rsidRPr="008C43FB">
        <w:rPr>
          <w:rFonts w:cstheme="minorHAnsi"/>
          <w:lang w:val="en-US"/>
        </w:rPr>
        <w:t>during the first trimester of pregnancy</w:t>
      </w:r>
      <w:r w:rsidRPr="008C43FB">
        <w:rPr>
          <w:rFonts w:cstheme="minorHAnsi"/>
          <w:lang w:val="en-US"/>
        </w:rPr>
        <w:t xml:space="preserve">. </w:t>
      </w:r>
      <w:r w:rsidR="00D15B2C" w:rsidRPr="008C43FB">
        <w:rPr>
          <w:rFonts w:cstheme="minorHAnsi"/>
          <w:lang w:val="en-US"/>
        </w:rPr>
        <w:t>Of the MS-</w:t>
      </w:r>
      <w:r w:rsidR="00A05A4F" w:rsidRPr="008C43FB">
        <w:rPr>
          <w:rFonts w:cstheme="minorHAnsi"/>
          <w:lang w:val="en-US"/>
        </w:rPr>
        <w:t>specific</w:t>
      </w:r>
      <w:r w:rsidR="00D15B2C" w:rsidRPr="008C43FB">
        <w:rPr>
          <w:rFonts w:cstheme="minorHAnsi"/>
          <w:lang w:val="en-US"/>
        </w:rPr>
        <w:t xml:space="preserve"> </w:t>
      </w:r>
      <w:r w:rsidR="008D0D1B" w:rsidRPr="008C43FB">
        <w:rPr>
          <w:rFonts w:cstheme="minorHAnsi"/>
          <w:lang w:val="en-US"/>
        </w:rPr>
        <w:t>DMTs</w:t>
      </w:r>
      <w:r w:rsidRPr="008C43FB">
        <w:rPr>
          <w:rFonts w:cstheme="minorHAnsi"/>
          <w:lang w:val="en-US"/>
        </w:rPr>
        <w:t>, the most frequent</w:t>
      </w:r>
      <w:r w:rsidR="00A05A4F" w:rsidRPr="008C43FB">
        <w:rPr>
          <w:rFonts w:cstheme="minorHAnsi"/>
          <w:lang w:val="en-US"/>
        </w:rPr>
        <w:t>ly recorded</w:t>
      </w:r>
      <w:r w:rsidRPr="008C43FB">
        <w:rPr>
          <w:rFonts w:cstheme="minorHAnsi"/>
          <w:lang w:val="en-US"/>
        </w:rPr>
        <w:t xml:space="preserve"> </w:t>
      </w:r>
      <w:r w:rsidR="008D0D1B" w:rsidRPr="008C43FB">
        <w:rPr>
          <w:rFonts w:cstheme="minorHAnsi"/>
          <w:lang w:val="en-US"/>
        </w:rPr>
        <w:t>were</w:t>
      </w:r>
      <w:r w:rsidRPr="008C43FB">
        <w:rPr>
          <w:rFonts w:cstheme="minorHAnsi"/>
          <w:lang w:val="en-US"/>
        </w:rPr>
        <w:t xml:space="preserve"> glatiramer acetate (</w:t>
      </w:r>
      <w:r w:rsidR="00547E8C" w:rsidRPr="008C43FB">
        <w:rPr>
          <w:rFonts w:cstheme="minorHAnsi"/>
          <w:lang w:val="en-US"/>
        </w:rPr>
        <w:t>13.0</w:t>
      </w:r>
      <w:r w:rsidRPr="008C43FB">
        <w:rPr>
          <w:rFonts w:cstheme="minorHAnsi"/>
          <w:lang w:val="en-US"/>
        </w:rPr>
        <w:t>%) and interferon beta-1a (</w:t>
      </w:r>
      <w:r w:rsidR="00547E8C" w:rsidRPr="008C43FB">
        <w:rPr>
          <w:rFonts w:cstheme="minorHAnsi"/>
          <w:lang w:val="en-US"/>
        </w:rPr>
        <w:t>9.3</w:t>
      </w:r>
      <w:r w:rsidRPr="008C43FB">
        <w:rPr>
          <w:rFonts w:cstheme="minorHAnsi"/>
          <w:lang w:val="en-US"/>
        </w:rPr>
        <w:t>%)</w:t>
      </w:r>
      <w:r w:rsidR="008D0D1B" w:rsidRPr="008C43FB">
        <w:rPr>
          <w:rFonts w:cstheme="minorHAnsi"/>
          <w:lang w:val="en-US"/>
        </w:rPr>
        <w:t xml:space="preserve"> (</w:t>
      </w:r>
      <w:r w:rsidRPr="008C43FB">
        <w:rPr>
          <w:rFonts w:cstheme="minorHAnsi"/>
          <w:lang w:val="en-US"/>
        </w:rPr>
        <w:t>T</w:t>
      </w:r>
      <w:r w:rsidR="00553D8A" w:rsidRPr="008C43FB">
        <w:rPr>
          <w:rFonts w:cstheme="minorHAnsi"/>
          <w:lang w:val="en-US"/>
        </w:rPr>
        <w:t>able 2</w:t>
      </w:r>
      <w:r w:rsidR="008D0D1B" w:rsidRPr="008C43FB">
        <w:rPr>
          <w:rFonts w:cstheme="minorHAnsi"/>
          <w:lang w:val="en-US"/>
        </w:rPr>
        <w:t xml:space="preserve">). </w:t>
      </w:r>
      <w:r w:rsidR="005F0722" w:rsidRPr="008C43FB">
        <w:rPr>
          <w:rFonts w:cstheme="minorHAnsi"/>
          <w:lang w:val="en-US"/>
        </w:rPr>
        <w:t>Individual c</w:t>
      </w:r>
      <w:r w:rsidR="005F0722" w:rsidRPr="008C43FB">
        <w:rPr>
          <w:lang w:val="en-US"/>
        </w:rPr>
        <w:t xml:space="preserve">haracteristics </w:t>
      </w:r>
      <w:r w:rsidR="00334D3B" w:rsidRPr="008C43FB">
        <w:rPr>
          <w:lang w:val="en-US"/>
        </w:rPr>
        <w:t xml:space="preserve">of </w:t>
      </w:r>
      <w:r w:rsidR="00334D3B" w:rsidRPr="008C43FB">
        <w:rPr>
          <w:rFonts w:cstheme="minorHAnsi"/>
          <w:lang w:val="en-US"/>
        </w:rPr>
        <w:t xml:space="preserve">registrants with maternal MS </w:t>
      </w:r>
      <w:r w:rsidR="005F0722" w:rsidRPr="008C43FB">
        <w:rPr>
          <w:rFonts w:cstheme="minorHAnsi"/>
          <w:lang w:val="en-US"/>
        </w:rPr>
        <w:t>are described in the case series</w:t>
      </w:r>
      <w:r w:rsidR="00334D3B" w:rsidRPr="008C43FB">
        <w:rPr>
          <w:rFonts w:cstheme="minorHAnsi"/>
          <w:lang w:val="en-US"/>
        </w:rPr>
        <w:t xml:space="preserve"> </w:t>
      </w:r>
      <w:r w:rsidR="005F0722" w:rsidRPr="008C43FB">
        <w:rPr>
          <w:rFonts w:cstheme="minorHAnsi"/>
          <w:lang w:val="en-US"/>
        </w:rPr>
        <w:t xml:space="preserve">(supplementary table 3). </w:t>
      </w:r>
    </w:p>
    <w:p w14:paraId="57C80862" w14:textId="22CADB94" w:rsidR="00C44AA2" w:rsidRPr="008C43FB" w:rsidRDefault="000A2644" w:rsidP="00687DF5">
      <w:pPr>
        <w:pStyle w:val="Titre2"/>
        <w:rPr>
          <w:lang w:val="en-US"/>
        </w:rPr>
      </w:pPr>
      <w:r w:rsidRPr="008C43FB">
        <w:rPr>
          <w:lang w:val="en-US"/>
        </w:rPr>
        <w:t xml:space="preserve">Signal detection </w:t>
      </w:r>
      <w:r w:rsidR="00570CEE" w:rsidRPr="008C43FB">
        <w:rPr>
          <w:lang w:val="en-US"/>
        </w:rPr>
        <w:t>analyses</w:t>
      </w:r>
    </w:p>
    <w:p w14:paraId="20AC2EB6" w14:textId="198C8717" w:rsidR="00281100" w:rsidRPr="008C43FB" w:rsidRDefault="00281100" w:rsidP="00281100">
      <w:pPr>
        <w:pStyle w:val="Paragraphedeliste"/>
        <w:numPr>
          <w:ilvl w:val="2"/>
          <w:numId w:val="12"/>
        </w:numPr>
        <w:rPr>
          <w:rFonts w:asciiTheme="minorHAnsi" w:hAnsiTheme="minorHAnsi" w:cstheme="majorHAnsi"/>
          <w:bCs/>
          <w:color w:val="2F5496" w:themeColor="accent1" w:themeShade="BF"/>
          <w:kern w:val="36"/>
          <w:sz w:val="28"/>
          <w:szCs w:val="32"/>
          <w:lang w:val="en-US"/>
        </w:rPr>
      </w:pPr>
      <w:bookmarkStart w:id="13" w:name="_Hlk224826843"/>
      <w:r w:rsidRPr="008C43FB">
        <w:rPr>
          <w:rFonts w:asciiTheme="minorHAnsi" w:hAnsiTheme="minorHAnsi" w:cstheme="majorHAnsi"/>
          <w:bCs/>
          <w:color w:val="2F5496" w:themeColor="accent1" w:themeShade="BF"/>
          <w:kern w:val="36"/>
          <w:sz w:val="28"/>
          <w:szCs w:val="32"/>
          <w:lang w:val="en-US"/>
        </w:rPr>
        <w:t>CA subgroups associated with maternal MS</w:t>
      </w:r>
    </w:p>
    <w:p w14:paraId="6F39A24D" w14:textId="6F92D2D1" w:rsidR="00CF567F" w:rsidRPr="008C43FB" w:rsidRDefault="000A2644" w:rsidP="00C44AA2">
      <w:pPr>
        <w:spacing w:line="360" w:lineRule="auto"/>
        <w:jc w:val="both"/>
        <w:rPr>
          <w:rFonts w:cstheme="minorHAnsi"/>
          <w:lang w:val="en-US"/>
        </w:rPr>
      </w:pPr>
      <w:bookmarkStart w:id="14" w:name="_Hlk189657191"/>
      <w:bookmarkEnd w:id="13"/>
      <w:r w:rsidRPr="008C43FB">
        <w:rPr>
          <w:rFonts w:cstheme="minorHAnsi"/>
          <w:lang w:val="en-US"/>
        </w:rPr>
        <w:lastRenderedPageBreak/>
        <w:t>Twenty</w:t>
      </w:r>
      <w:r w:rsidR="00C44AA2" w:rsidRPr="008C43FB">
        <w:rPr>
          <w:rFonts w:cstheme="minorHAnsi"/>
          <w:lang w:val="en-US"/>
        </w:rPr>
        <w:t xml:space="preserve"> different CA subgroups with </w:t>
      </w:r>
      <w:r w:rsidR="00CF567F" w:rsidRPr="008C43FB">
        <w:rPr>
          <w:rFonts w:cstheme="minorHAnsi"/>
          <w:lang w:val="en-US"/>
        </w:rPr>
        <w:t xml:space="preserve">more than 3 cases exposed to </w:t>
      </w:r>
      <w:r w:rsidR="00D0513F" w:rsidRPr="008C43FB">
        <w:rPr>
          <w:rFonts w:cstheme="minorHAnsi"/>
          <w:lang w:val="en-US"/>
        </w:rPr>
        <w:t>maternal</w:t>
      </w:r>
      <w:r w:rsidR="00C44AA2" w:rsidRPr="008C43FB">
        <w:rPr>
          <w:rFonts w:cstheme="minorHAnsi"/>
          <w:lang w:val="en-US"/>
        </w:rPr>
        <w:t xml:space="preserve"> MS were tested</w:t>
      </w:r>
      <w:r w:rsidR="0092472A" w:rsidRPr="008C43FB">
        <w:rPr>
          <w:rFonts w:cstheme="minorHAnsi"/>
          <w:lang w:val="en-US"/>
        </w:rPr>
        <w:t>.</w:t>
      </w:r>
      <w:r w:rsidR="00C5557E" w:rsidRPr="00EE4722">
        <w:rPr>
          <w:lang w:val="en-US"/>
        </w:rPr>
        <w:t xml:space="preserve"> </w:t>
      </w:r>
      <w:r w:rsidR="00B7783D" w:rsidRPr="00EE4722">
        <w:rPr>
          <w:lang w:val="en-US"/>
        </w:rPr>
        <w:t xml:space="preserve">After adjusting for multiple comparisons, </w:t>
      </w:r>
      <w:r w:rsidR="00CE0AA0" w:rsidRPr="008C43FB">
        <w:rPr>
          <w:lang w:val="en-US"/>
        </w:rPr>
        <w:t>maternal MS</w:t>
      </w:r>
      <w:r w:rsidR="00CE0AA0" w:rsidRPr="008C43FB">
        <w:rPr>
          <w:rFonts w:cstheme="minorHAnsi"/>
          <w:lang w:val="en-US"/>
        </w:rPr>
        <w:t xml:space="preserve"> </w:t>
      </w:r>
      <w:r w:rsidR="00831F0E" w:rsidRPr="008C43FB">
        <w:rPr>
          <w:rFonts w:cstheme="minorHAnsi"/>
          <w:lang w:val="en-US"/>
        </w:rPr>
        <w:t xml:space="preserve">was more frequent </w:t>
      </w:r>
      <w:r w:rsidR="00DC6984" w:rsidRPr="008C43FB">
        <w:rPr>
          <w:lang w:val="en-US"/>
        </w:rPr>
        <w:t xml:space="preserve">among </w:t>
      </w:r>
      <w:r w:rsidR="00831F0E" w:rsidRPr="008C43FB">
        <w:rPr>
          <w:lang w:val="en-US"/>
        </w:rPr>
        <w:t xml:space="preserve">registrants with gastroschisis </w:t>
      </w:r>
      <w:r w:rsidR="00DC6984" w:rsidRPr="008C43FB">
        <w:rPr>
          <w:rFonts w:cstheme="minorHAnsi"/>
          <w:lang w:val="en-US"/>
        </w:rPr>
        <w:t xml:space="preserve">compared with both </w:t>
      </w:r>
      <w:r w:rsidR="007E3AE6" w:rsidRPr="008C43FB">
        <w:rPr>
          <w:rFonts w:cstheme="minorHAnsi"/>
          <w:lang w:val="en-US"/>
        </w:rPr>
        <w:t xml:space="preserve">non-genetic controls </w:t>
      </w:r>
      <w:r w:rsidR="009C6721" w:rsidRPr="008C43FB">
        <w:rPr>
          <w:rFonts w:cstheme="minorHAnsi"/>
          <w:lang w:val="en-US"/>
        </w:rPr>
        <w:t>(</w:t>
      </w:r>
      <w:proofErr w:type="spellStart"/>
      <w:r w:rsidR="00DC6984" w:rsidRPr="00EE4722">
        <w:rPr>
          <w:lang w:val="en-US"/>
        </w:rPr>
        <w:t>aROR</w:t>
      </w:r>
      <w:proofErr w:type="spellEnd"/>
      <w:r w:rsidR="00DC6984" w:rsidRPr="00EE4722">
        <w:rPr>
          <w:lang w:val="en-US"/>
        </w:rPr>
        <w:t xml:space="preserve"> 8.30</w:t>
      </w:r>
      <w:r w:rsidR="009C6721" w:rsidRPr="00EE4722">
        <w:rPr>
          <w:lang w:val="en-US"/>
        </w:rPr>
        <w:t xml:space="preserve">, </w:t>
      </w:r>
      <w:r w:rsidR="00DC6984" w:rsidRPr="00EE4722">
        <w:rPr>
          <w:lang w:val="en-US"/>
        </w:rPr>
        <w:t>95% CI 2.82–24.46</w:t>
      </w:r>
      <w:r w:rsidR="009C6721" w:rsidRPr="00EE4722">
        <w:rPr>
          <w:lang w:val="en-US"/>
        </w:rPr>
        <w:t>)</w:t>
      </w:r>
      <w:r w:rsidR="00DC6984" w:rsidRPr="00B763E2">
        <w:rPr>
          <w:lang w:val="en-US"/>
        </w:rPr>
        <w:t xml:space="preserve"> and </w:t>
      </w:r>
      <w:r w:rsidR="007E3AE6" w:rsidRPr="008C43FB">
        <w:rPr>
          <w:rFonts w:cstheme="minorHAnsi"/>
          <w:lang w:val="en-US"/>
        </w:rPr>
        <w:t>genetic controls</w:t>
      </w:r>
      <w:r w:rsidR="007E3AE6" w:rsidRPr="00EE4722">
        <w:rPr>
          <w:lang w:val="en-US"/>
        </w:rPr>
        <w:t xml:space="preserve"> </w:t>
      </w:r>
      <w:r w:rsidR="009C6721" w:rsidRPr="008C43FB">
        <w:rPr>
          <w:rFonts w:cstheme="minorHAnsi"/>
          <w:lang w:val="en-US"/>
        </w:rPr>
        <w:t>(</w:t>
      </w:r>
      <w:proofErr w:type="spellStart"/>
      <w:r w:rsidR="009C6721" w:rsidRPr="00EE4722">
        <w:rPr>
          <w:lang w:val="en-US"/>
        </w:rPr>
        <w:t>aROR</w:t>
      </w:r>
      <w:proofErr w:type="spellEnd"/>
      <w:r w:rsidR="009C6721" w:rsidRPr="00EE4722">
        <w:rPr>
          <w:lang w:val="en-US"/>
        </w:rPr>
        <w:t xml:space="preserve"> </w:t>
      </w:r>
      <w:r w:rsidR="00DC6984" w:rsidRPr="00EE4722">
        <w:rPr>
          <w:lang w:val="en-US"/>
        </w:rPr>
        <w:t>12.58</w:t>
      </w:r>
      <w:r w:rsidR="009C6721" w:rsidRPr="00EE4722">
        <w:rPr>
          <w:lang w:val="en-US"/>
        </w:rPr>
        <w:t xml:space="preserve">, </w:t>
      </w:r>
      <w:r w:rsidR="00DC6984" w:rsidRPr="00EE4722">
        <w:rPr>
          <w:lang w:val="en-US"/>
        </w:rPr>
        <w:t>95% CI 3.91–40.41</w:t>
      </w:r>
      <w:r w:rsidR="00DC6984" w:rsidRPr="008C43FB">
        <w:rPr>
          <w:rFonts w:cstheme="minorHAnsi"/>
          <w:lang w:val="en-US"/>
        </w:rPr>
        <w:t>)</w:t>
      </w:r>
      <w:r w:rsidR="009C6721" w:rsidRPr="008C43FB">
        <w:rPr>
          <w:rFonts w:cstheme="minorHAnsi"/>
          <w:lang w:val="en-US"/>
        </w:rPr>
        <w:t xml:space="preserve">, based on </w:t>
      </w:r>
      <w:r w:rsidR="001A21B9" w:rsidRPr="00EE4722">
        <w:rPr>
          <w:lang w:val="en-US"/>
        </w:rPr>
        <w:t xml:space="preserve">3 registrants </w:t>
      </w:r>
      <w:r w:rsidR="001A21B9" w:rsidRPr="008C43FB">
        <w:rPr>
          <w:rFonts w:cstheme="minorHAnsi"/>
          <w:lang w:val="en-US"/>
        </w:rPr>
        <w:t>with maternal MS</w:t>
      </w:r>
      <w:r w:rsidR="001A21B9" w:rsidRPr="00EE4722">
        <w:rPr>
          <w:lang w:val="en-US"/>
        </w:rPr>
        <w:t xml:space="preserve"> among 12,502 </w:t>
      </w:r>
      <w:r w:rsidR="009C6721" w:rsidRPr="008C43FB">
        <w:rPr>
          <w:rFonts w:cstheme="minorHAnsi"/>
          <w:lang w:val="en-US"/>
        </w:rPr>
        <w:t>gastroschisis cases</w:t>
      </w:r>
      <w:r w:rsidR="00BA1230" w:rsidRPr="008C43FB">
        <w:rPr>
          <w:rFonts w:cstheme="minorHAnsi"/>
          <w:lang w:val="en-US"/>
        </w:rPr>
        <w:t xml:space="preserve"> (Figure 2</w:t>
      </w:r>
      <w:r w:rsidR="00F651C2" w:rsidRPr="008C43FB">
        <w:rPr>
          <w:rFonts w:cstheme="minorHAnsi"/>
          <w:lang w:val="en-US"/>
        </w:rPr>
        <w:t>, supplementary table 4</w:t>
      </w:r>
      <w:r w:rsidR="00BA1230" w:rsidRPr="008C43FB">
        <w:rPr>
          <w:rFonts w:cstheme="minorHAnsi"/>
          <w:lang w:val="en-US"/>
        </w:rPr>
        <w:t>)</w:t>
      </w:r>
      <w:r w:rsidR="009C6721" w:rsidRPr="008C43FB">
        <w:rPr>
          <w:rFonts w:cstheme="minorHAnsi"/>
          <w:lang w:val="en-US"/>
        </w:rPr>
        <w:t>.</w:t>
      </w:r>
      <w:r w:rsidR="00542329" w:rsidRPr="008C43FB">
        <w:rPr>
          <w:rFonts w:cstheme="minorHAnsi"/>
          <w:lang w:val="en-US"/>
        </w:rPr>
        <w:t xml:space="preserve"> </w:t>
      </w:r>
    </w:p>
    <w:p w14:paraId="388E0783" w14:textId="6EAE87AC" w:rsidR="00982FEB" w:rsidRPr="008C43FB" w:rsidRDefault="005061BD" w:rsidP="00C44AA2">
      <w:pPr>
        <w:spacing w:line="360" w:lineRule="auto"/>
        <w:jc w:val="both"/>
        <w:rPr>
          <w:lang w:val="en-US"/>
        </w:rPr>
      </w:pPr>
      <w:r w:rsidRPr="008C43FB">
        <w:rPr>
          <w:rFonts w:cstheme="minorHAnsi"/>
          <w:lang w:val="en-US"/>
        </w:rPr>
        <w:t xml:space="preserve">In addition, </w:t>
      </w:r>
      <w:r w:rsidR="00A10A5E" w:rsidRPr="008C43FB">
        <w:rPr>
          <w:rFonts w:cstheme="minorHAnsi"/>
          <w:lang w:val="en-US"/>
        </w:rPr>
        <w:t>compared with non-genetic controls,</w:t>
      </w:r>
      <w:r w:rsidR="00F72A83" w:rsidRPr="008C43FB">
        <w:rPr>
          <w:rFonts w:cstheme="minorHAnsi"/>
          <w:lang w:val="en-US"/>
        </w:rPr>
        <w:t xml:space="preserve"> </w:t>
      </w:r>
      <w:r w:rsidR="00A10A5E" w:rsidRPr="008C43FB">
        <w:rPr>
          <w:rFonts w:cstheme="minorHAnsi"/>
          <w:lang w:val="en-US"/>
        </w:rPr>
        <w:t xml:space="preserve">increased </w:t>
      </w:r>
      <w:proofErr w:type="spellStart"/>
      <w:r w:rsidR="00A10A5E" w:rsidRPr="008C43FB">
        <w:rPr>
          <w:rFonts w:cstheme="minorHAnsi"/>
          <w:lang w:val="en-US"/>
        </w:rPr>
        <w:t>aRORs</w:t>
      </w:r>
      <w:proofErr w:type="spellEnd"/>
      <w:r w:rsidR="00A10A5E" w:rsidRPr="008C43FB">
        <w:rPr>
          <w:rFonts w:cstheme="minorHAnsi"/>
          <w:lang w:val="en-US"/>
        </w:rPr>
        <w:t xml:space="preserve"> were observed </w:t>
      </w:r>
      <w:r w:rsidRPr="008C43FB">
        <w:rPr>
          <w:rFonts w:cstheme="minorHAnsi"/>
          <w:lang w:val="en-US"/>
        </w:rPr>
        <w:t>f</w:t>
      </w:r>
      <w:r w:rsidR="009C5BCF" w:rsidRPr="008C43FB">
        <w:rPr>
          <w:rFonts w:cstheme="minorHAnsi"/>
          <w:lang w:val="en-US"/>
        </w:rPr>
        <w:t xml:space="preserve">or </w:t>
      </w:r>
      <w:r w:rsidR="00C67432" w:rsidRPr="008C43FB">
        <w:rPr>
          <w:rFonts w:cstheme="minorHAnsi"/>
          <w:lang w:val="en-US"/>
        </w:rPr>
        <w:t>t</w:t>
      </w:r>
      <w:r w:rsidRPr="008C43FB">
        <w:rPr>
          <w:rFonts w:cstheme="minorHAnsi"/>
          <w:lang w:val="en-US"/>
        </w:rPr>
        <w:t xml:space="preserve">ransposition of great arteries </w:t>
      </w:r>
      <w:r w:rsidR="00A10A5E" w:rsidRPr="008C43FB">
        <w:rPr>
          <w:rFonts w:cstheme="minorHAnsi"/>
          <w:lang w:val="en-US"/>
        </w:rPr>
        <w:t>(</w:t>
      </w:r>
      <w:proofErr w:type="spellStart"/>
      <w:r w:rsidR="00A10A5E" w:rsidRPr="00EE4722">
        <w:rPr>
          <w:lang w:val="en-US"/>
        </w:rPr>
        <w:t>aROR</w:t>
      </w:r>
      <w:proofErr w:type="spellEnd"/>
      <w:r w:rsidR="00A10A5E" w:rsidRPr="00EE4722">
        <w:rPr>
          <w:lang w:val="en-US"/>
        </w:rPr>
        <w:t xml:space="preserve"> 3.01, 95% CI 1.02</w:t>
      </w:r>
      <w:r w:rsidR="00FA3651" w:rsidRPr="00B763E2">
        <w:rPr>
          <w:lang w:val="en-US"/>
        </w:rPr>
        <w:t>-</w:t>
      </w:r>
      <w:r w:rsidR="00A10A5E" w:rsidRPr="00B763E2">
        <w:rPr>
          <w:lang w:val="en-US"/>
        </w:rPr>
        <w:t xml:space="preserve">8.89) </w:t>
      </w:r>
      <w:r w:rsidRPr="008C43FB">
        <w:rPr>
          <w:rFonts w:cstheme="minorHAnsi"/>
          <w:lang w:val="en-US"/>
        </w:rPr>
        <w:t xml:space="preserve">and </w:t>
      </w:r>
      <w:r w:rsidR="009C5BCF" w:rsidRPr="008C43FB">
        <w:rPr>
          <w:rFonts w:cstheme="minorHAnsi"/>
          <w:lang w:val="en-US"/>
        </w:rPr>
        <w:t>orofacial clefts</w:t>
      </w:r>
      <w:r w:rsidR="00A10A5E" w:rsidRPr="008C43FB">
        <w:rPr>
          <w:rFonts w:cstheme="minorHAnsi"/>
          <w:lang w:val="en-US"/>
        </w:rPr>
        <w:t xml:space="preserve"> (</w:t>
      </w:r>
      <w:proofErr w:type="spellStart"/>
      <w:r w:rsidR="00F72A83" w:rsidRPr="00EE4722">
        <w:rPr>
          <w:lang w:val="en-US"/>
        </w:rPr>
        <w:t>aROR</w:t>
      </w:r>
      <w:proofErr w:type="spellEnd"/>
      <w:r w:rsidR="00F72A83" w:rsidRPr="00EE4722">
        <w:rPr>
          <w:lang w:val="en-US"/>
        </w:rPr>
        <w:t xml:space="preserve"> 2.27, 95% CI </w:t>
      </w:r>
      <w:r w:rsidR="00F72A83" w:rsidRPr="00B763E2">
        <w:rPr>
          <w:lang w:val="en-US"/>
        </w:rPr>
        <w:t>1.20</w:t>
      </w:r>
      <w:r w:rsidR="00FA3651" w:rsidRPr="00B763E2">
        <w:rPr>
          <w:lang w:val="en-US"/>
        </w:rPr>
        <w:t>-</w:t>
      </w:r>
      <w:r w:rsidR="00F72A83" w:rsidRPr="00B763E2">
        <w:rPr>
          <w:lang w:val="en-US"/>
        </w:rPr>
        <w:t>4.29</w:t>
      </w:r>
      <w:r w:rsidR="00A10A5E" w:rsidRPr="008C43FB">
        <w:rPr>
          <w:lang w:val="en-US"/>
        </w:rPr>
        <w:t>)</w:t>
      </w:r>
      <w:r w:rsidR="009C5BCF" w:rsidRPr="008C43FB">
        <w:rPr>
          <w:rFonts w:cstheme="minorHAnsi"/>
          <w:lang w:val="en-US"/>
        </w:rPr>
        <w:t>,</w:t>
      </w:r>
      <w:r w:rsidRPr="008C43FB">
        <w:rPr>
          <w:rFonts w:cstheme="minorHAnsi"/>
          <w:lang w:val="en-US"/>
        </w:rPr>
        <w:t xml:space="preserve"> including </w:t>
      </w:r>
      <w:r w:rsidR="009C5BCF" w:rsidRPr="008C43FB">
        <w:rPr>
          <w:rFonts w:cstheme="minorHAnsi"/>
          <w:lang w:val="en-US"/>
        </w:rPr>
        <w:t>cleft lip</w:t>
      </w:r>
      <w:r w:rsidRPr="008C43FB">
        <w:rPr>
          <w:lang w:val="en-US"/>
        </w:rPr>
        <w:t xml:space="preserve"> </w:t>
      </w:r>
      <w:r w:rsidRPr="008C43FB">
        <w:rPr>
          <w:rFonts w:cstheme="minorHAnsi"/>
          <w:lang w:val="en-US"/>
        </w:rPr>
        <w:t>with or without cleft palate</w:t>
      </w:r>
      <w:r w:rsidR="00A10A5E" w:rsidRPr="008C43FB">
        <w:rPr>
          <w:rFonts w:cstheme="minorHAnsi"/>
          <w:lang w:val="en-US"/>
        </w:rPr>
        <w:t xml:space="preserve"> (</w:t>
      </w:r>
      <w:proofErr w:type="spellStart"/>
      <w:r w:rsidR="00A10A5E" w:rsidRPr="00EE4722">
        <w:rPr>
          <w:lang w:val="en-US"/>
        </w:rPr>
        <w:t>aROR</w:t>
      </w:r>
      <w:proofErr w:type="spellEnd"/>
      <w:r w:rsidR="00A10A5E" w:rsidRPr="00EE4722">
        <w:rPr>
          <w:lang w:val="en-US"/>
        </w:rPr>
        <w:t xml:space="preserve"> </w:t>
      </w:r>
      <w:r w:rsidR="00F72A83" w:rsidRPr="00EE4722">
        <w:rPr>
          <w:lang w:val="en-US"/>
        </w:rPr>
        <w:t>2.29</w:t>
      </w:r>
      <w:r w:rsidR="00A10A5E" w:rsidRPr="00EE4722">
        <w:rPr>
          <w:lang w:val="en-US"/>
        </w:rPr>
        <w:t xml:space="preserve">, </w:t>
      </w:r>
      <w:r w:rsidR="00A10A5E" w:rsidRPr="00B763E2">
        <w:rPr>
          <w:lang w:val="en-US"/>
        </w:rPr>
        <w:t xml:space="preserve">95% CI </w:t>
      </w:r>
      <w:r w:rsidR="00F72A83" w:rsidRPr="00B763E2">
        <w:rPr>
          <w:lang w:val="en-US"/>
        </w:rPr>
        <w:t>1.05</w:t>
      </w:r>
      <w:r w:rsidR="00FA3651" w:rsidRPr="008C43FB">
        <w:rPr>
          <w:lang w:val="en-US"/>
        </w:rPr>
        <w:t>-</w:t>
      </w:r>
      <w:r w:rsidR="00F72A83" w:rsidRPr="008C43FB">
        <w:rPr>
          <w:lang w:val="en-US"/>
        </w:rPr>
        <w:t>5.00</w:t>
      </w:r>
      <w:r w:rsidR="00A10A5E" w:rsidRPr="008C43FB">
        <w:rPr>
          <w:lang w:val="en-US"/>
        </w:rPr>
        <w:t>)</w:t>
      </w:r>
      <w:r w:rsidR="005D6151" w:rsidRPr="008C43FB">
        <w:rPr>
          <w:rFonts w:cstheme="minorHAnsi"/>
          <w:lang w:val="en-US"/>
        </w:rPr>
        <w:t xml:space="preserve"> (Figure 2, supplementary table 4). </w:t>
      </w:r>
      <w:r w:rsidR="005D6151" w:rsidRPr="008C43FB">
        <w:rPr>
          <w:lang w:val="en-US"/>
        </w:rPr>
        <w:t>These associations were statistically significant before, but not after correction for multiple testing</w:t>
      </w:r>
      <w:r w:rsidR="00B37441" w:rsidRPr="008C43FB">
        <w:rPr>
          <w:lang w:val="en-US"/>
        </w:rPr>
        <w:t>,</w:t>
      </w:r>
      <w:r w:rsidR="005D6151" w:rsidRPr="008C43FB">
        <w:rPr>
          <w:lang w:val="en-US"/>
        </w:rPr>
        <w:t xml:space="preserve"> and should therefore be interpreted cautiously as potentially due to chance.</w:t>
      </w:r>
      <w:r w:rsidR="00982FEB" w:rsidRPr="008C43FB">
        <w:rPr>
          <w:lang w:val="en-US"/>
        </w:rPr>
        <w:t xml:space="preserve"> </w:t>
      </w:r>
      <w:r w:rsidR="00FA3651" w:rsidRPr="008C43FB">
        <w:rPr>
          <w:lang w:val="en-US"/>
        </w:rPr>
        <w:t xml:space="preserve">Comparable effect estimates were observed when using genetic controls, with RORs of 2.37 (95% CI 0.75–7.56), 2.10 (95% CI 0.98–4.48), and 2.27 (95% CI 0.93–5.51), respectively </w:t>
      </w:r>
      <w:r w:rsidR="00DE1472" w:rsidRPr="003257D3">
        <w:rPr>
          <w:rFonts w:cstheme="minorHAnsi"/>
          <w:lang w:val="en-US"/>
        </w:rPr>
        <w:t>for transposition of great arteries</w:t>
      </w:r>
      <w:r w:rsidR="00DE1472">
        <w:rPr>
          <w:rFonts w:cstheme="minorHAnsi"/>
          <w:lang w:val="en-US"/>
        </w:rPr>
        <w:t xml:space="preserve">, </w:t>
      </w:r>
      <w:r w:rsidR="00DE1472" w:rsidRPr="003257D3">
        <w:rPr>
          <w:rFonts w:cstheme="minorHAnsi"/>
          <w:lang w:val="en-US"/>
        </w:rPr>
        <w:t xml:space="preserve">orofacial clefts, </w:t>
      </w:r>
      <w:r w:rsidR="00DE1472">
        <w:rPr>
          <w:rFonts w:cstheme="minorHAnsi"/>
          <w:lang w:val="en-US"/>
        </w:rPr>
        <w:t>and</w:t>
      </w:r>
      <w:r w:rsidR="00DE1472" w:rsidRPr="003257D3">
        <w:rPr>
          <w:rFonts w:cstheme="minorHAnsi"/>
          <w:lang w:val="en-US"/>
        </w:rPr>
        <w:t xml:space="preserve"> cleft lip</w:t>
      </w:r>
      <w:r w:rsidR="00DE1472" w:rsidRPr="003257D3">
        <w:rPr>
          <w:lang w:val="en-US"/>
        </w:rPr>
        <w:t xml:space="preserve"> </w:t>
      </w:r>
      <w:r w:rsidR="00DE1472" w:rsidRPr="003257D3">
        <w:rPr>
          <w:rFonts w:cstheme="minorHAnsi"/>
          <w:lang w:val="en-US"/>
        </w:rPr>
        <w:t>with or without cleft palate</w:t>
      </w:r>
      <w:r w:rsidR="00DE1472">
        <w:rPr>
          <w:rFonts w:cstheme="minorHAnsi"/>
          <w:lang w:val="en-US"/>
        </w:rPr>
        <w:t>,</w:t>
      </w:r>
      <w:r w:rsidR="00DE1472" w:rsidRPr="00B763E2">
        <w:rPr>
          <w:lang w:val="en-US"/>
        </w:rPr>
        <w:t xml:space="preserve"> </w:t>
      </w:r>
      <w:r w:rsidR="00FA3651" w:rsidRPr="008C43FB">
        <w:rPr>
          <w:lang w:val="en-US"/>
        </w:rPr>
        <w:t>although the corresponding associations did not reach statistical significance</w:t>
      </w:r>
      <w:r w:rsidR="00FA3651" w:rsidRPr="008C43FB">
        <w:rPr>
          <w:rFonts w:cstheme="minorHAnsi"/>
          <w:lang w:val="en-US"/>
        </w:rPr>
        <w:t>.</w:t>
      </w:r>
    </w:p>
    <w:p w14:paraId="3C9BD813" w14:textId="2EBF5373" w:rsidR="00982FEB" w:rsidRPr="008C43FB" w:rsidRDefault="00982FEB" w:rsidP="00C44AA2">
      <w:pPr>
        <w:spacing w:line="360" w:lineRule="auto"/>
        <w:jc w:val="both"/>
        <w:rPr>
          <w:rFonts w:cstheme="minorHAnsi"/>
          <w:lang w:val="en-US"/>
        </w:rPr>
      </w:pPr>
      <w:r w:rsidRPr="008C43FB">
        <w:rPr>
          <w:rFonts w:cstheme="minorHAnsi"/>
          <w:lang w:val="en-US"/>
        </w:rPr>
        <w:t>The sensitivity analysis excluding Poland registry provided similar results (supplementary table 5). Due to the very small number of exposed cases, exclusion of DMT-exposed registrants in a sensitivity analysis was not feasible, which limits our ability to determine whether the observed association</w:t>
      </w:r>
      <w:r w:rsidR="00CF567F" w:rsidRPr="008C43FB">
        <w:rPr>
          <w:rFonts w:cstheme="minorHAnsi"/>
          <w:lang w:val="en-US"/>
        </w:rPr>
        <w:t>s</w:t>
      </w:r>
      <w:r w:rsidRPr="008C43FB">
        <w:rPr>
          <w:rFonts w:cstheme="minorHAnsi"/>
          <w:lang w:val="en-US"/>
        </w:rPr>
        <w:t xml:space="preserve"> </w:t>
      </w:r>
      <w:r w:rsidR="00CF567F" w:rsidRPr="008C43FB">
        <w:rPr>
          <w:rFonts w:cstheme="minorHAnsi"/>
          <w:lang w:val="en-US"/>
        </w:rPr>
        <w:t>were</w:t>
      </w:r>
      <w:r w:rsidRPr="008C43FB">
        <w:rPr>
          <w:rFonts w:cstheme="minorHAnsi"/>
          <w:lang w:val="en-US"/>
        </w:rPr>
        <w:t xml:space="preserve"> driven by treatment exposure or other factors.</w:t>
      </w:r>
    </w:p>
    <w:p w14:paraId="34A9786D" w14:textId="2E3CEA12" w:rsidR="00281100" w:rsidRPr="008C43FB" w:rsidRDefault="00281100" w:rsidP="00281100">
      <w:pPr>
        <w:pStyle w:val="Paragraphedeliste"/>
        <w:numPr>
          <w:ilvl w:val="2"/>
          <w:numId w:val="12"/>
        </w:numPr>
        <w:rPr>
          <w:rFonts w:asciiTheme="minorHAnsi" w:hAnsiTheme="minorHAnsi" w:cstheme="majorHAnsi"/>
          <w:bCs/>
          <w:color w:val="2F5496" w:themeColor="accent1" w:themeShade="BF"/>
          <w:kern w:val="36"/>
          <w:sz w:val="28"/>
          <w:szCs w:val="32"/>
          <w:lang w:val="en-US"/>
        </w:rPr>
      </w:pPr>
      <w:r w:rsidRPr="008C43FB">
        <w:rPr>
          <w:rFonts w:asciiTheme="minorHAnsi" w:hAnsiTheme="minorHAnsi" w:cstheme="majorHAnsi"/>
          <w:bCs/>
          <w:color w:val="2F5496" w:themeColor="accent1" w:themeShade="BF"/>
          <w:kern w:val="36"/>
          <w:sz w:val="28"/>
          <w:szCs w:val="32"/>
          <w:lang w:val="en-US"/>
        </w:rPr>
        <w:t>CA subgroups associated with DMTs exposure in women with maternal MS</w:t>
      </w:r>
    </w:p>
    <w:bookmarkEnd w:id="14"/>
    <w:p w14:paraId="57C8086E" w14:textId="175543EB" w:rsidR="00B35F98" w:rsidRPr="008C43FB" w:rsidRDefault="007A78FB">
      <w:pPr>
        <w:spacing w:line="360" w:lineRule="auto"/>
        <w:jc w:val="both"/>
        <w:rPr>
          <w:rFonts w:cstheme="minorHAnsi"/>
          <w:b/>
          <w:lang w:val="en-US"/>
        </w:rPr>
      </w:pPr>
      <w:r w:rsidRPr="008C43FB">
        <w:rPr>
          <w:rFonts w:cstheme="minorHAnsi"/>
          <w:lang w:val="en-US"/>
        </w:rPr>
        <w:t>Among registrants with maternal MS, 14 were exposed to glatiramer acetate and 10 to interferon beta-1a</w:t>
      </w:r>
      <w:r w:rsidR="006424D2" w:rsidRPr="008C43FB">
        <w:rPr>
          <w:rFonts w:cstheme="minorHAnsi"/>
          <w:lang w:val="en-US"/>
        </w:rPr>
        <w:t xml:space="preserve"> (Table 2)</w:t>
      </w:r>
      <w:r w:rsidRPr="008C43FB">
        <w:rPr>
          <w:rFonts w:cstheme="minorHAnsi"/>
          <w:lang w:val="en-US"/>
        </w:rPr>
        <w:t xml:space="preserve">. </w:t>
      </w:r>
      <w:bookmarkStart w:id="15" w:name="_Hlk199923047"/>
      <w:r w:rsidRPr="008C43FB">
        <w:rPr>
          <w:rFonts w:cstheme="minorHAnsi"/>
          <w:lang w:val="en-US"/>
        </w:rPr>
        <w:t xml:space="preserve">Among CA subgroups, only congenital heart defects (CHDs) had at least </w:t>
      </w:r>
      <w:r w:rsidR="00A159A3" w:rsidRPr="008C43FB">
        <w:rPr>
          <w:rFonts w:cstheme="minorHAnsi"/>
          <w:lang w:val="en-US"/>
        </w:rPr>
        <w:t>3</w:t>
      </w:r>
      <w:r w:rsidRPr="008C43FB">
        <w:rPr>
          <w:rFonts w:cstheme="minorHAnsi"/>
          <w:lang w:val="en-US"/>
        </w:rPr>
        <w:t xml:space="preserve"> cases exposed to either treatment. </w:t>
      </w:r>
      <w:bookmarkEnd w:id="15"/>
      <w:r w:rsidR="00D1566A" w:rsidRPr="008C43FB">
        <w:rPr>
          <w:lang w:val="en-US"/>
        </w:rPr>
        <w:t xml:space="preserve">We were only able to test associations between exposure to glatiramer acetate and three CA subgroups i.e. </w:t>
      </w:r>
      <w:r w:rsidRPr="008C43FB">
        <w:rPr>
          <w:rFonts w:cstheme="minorHAnsi"/>
          <w:lang w:val="en-US"/>
        </w:rPr>
        <w:t xml:space="preserve">the overall CHD subgroup, </w:t>
      </w:r>
      <w:r w:rsidR="00D1566A" w:rsidRPr="008C43FB">
        <w:rPr>
          <w:rFonts w:cstheme="minorHAnsi"/>
          <w:lang w:val="en-US"/>
        </w:rPr>
        <w:t>and</w:t>
      </w:r>
      <w:r w:rsidRPr="008C43FB">
        <w:rPr>
          <w:rFonts w:cstheme="minorHAnsi"/>
          <w:lang w:val="en-US"/>
        </w:rPr>
        <w:t xml:space="preserve"> </w:t>
      </w:r>
      <w:r w:rsidR="00833C83" w:rsidRPr="008C43FB">
        <w:rPr>
          <w:rFonts w:cstheme="minorHAnsi"/>
          <w:lang w:val="en-US"/>
        </w:rPr>
        <w:t xml:space="preserve">two distinct </w:t>
      </w:r>
      <w:r w:rsidRPr="008C43FB">
        <w:rPr>
          <w:rFonts w:cstheme="minorHAnsi"/>
          <w:lang w:val="en-US"/>
        </w:rPr>
        <w:t>categories</w:t>
      </w:r>
      <w:r w:rsidR="00833C83" w:rsidRPr="008C43FB">
        <w:rPr>
          <w:rFonts w:cstheme="minorHAnsi"/>
          <w:lang w:val="en-US"/>
        </w:rPr>
        <w:t xml:space="preserve">: </w:t>
      </w:r>
      <w:r w:rsidRPr="008C43FB">
        <w:rPr>
          <w:rFonts w:cstheme="minorHAnsi"/>
          <w:lang w:val="en-US"/>
        </w:rPr>
        <w:t>severe CHDs and ventricular septal defects (VSDs). For interferon beta-1a</w:t>
      </w:r>
      <w:r w:rsidR="00D1566A" w:rsidRPr="008C43FB">
        <w:rPr>
          <w:rFonts w:cstheme="minorHAnsi"/>
          <w:lang w:val="en-US"/>
        </w:rPr>
        <w:t xml:space="preserve">, </w:t>
      </w:r>
      <w:r w:rsidR="00D1566A" w:rsidRPr="008C43FB">
        <w:rPr>
          <w:lang w:val="en-US"/>
        </w:rPr>
        <w:t xml:space="preserve">we were only able to test associations with </w:t>
      </w:r>
      <w:r w:rsidR="00D1566A" w:rsidRPr="008C43FB">
        <w:rPr>
          <w:rFonts w:cstheme="minorHAnsi"/>
          <w:lang w:val="en-US"/>
        </w:rPr>
        <w:t>the overall CHD subgroup</w:t>
      </w:r>
      <w:r w:rsidRPr="008C43FB">
        <w:rPr>
          <w:rFonts w:cstheme="minorHAnsi"/>
          <w:lang w:val="en-US"/>
        </w:rPr>
        <w:t>. In addition, because of the limited number of exposed registrants in the genetic control group, comparisons were made only with non-genetic controls.</w:t>
      </w:r>
      <w:r w:rsidR="00B03186" w:rsidRPr="008C43FB">
        <w:rPr>
          <w:rFonts w:cstheme="minorHAnsi"/>
          <w:lang w:val="en-US"/>
        </w:rPr>
        <w:t xml:space="preserve"> </w:t>
      </w:r>
      <w:r w:rsidR="00D026C7" w:rsidRPr="008C43FB">
        <w:rPr>
          <w:rFonts w:cstheme="minorHAnsi"/>
          <w:lang w:val="en-US"/>
        </w:rPr>
        <w:t xml:space="preserve">No </w:t>
      </w:r>
      <w:r w:rsidR="000F2B37" w:rsidRPr="008C43FB">
        <w:rPr>
          <w:rFonts w:cstheme="minorHAnsi"/>
          <w:lang w:val="en-US"/>
        </w:rPr>
        <w:t>signal</w:t>
      </w:r>
      <w:r w:rsidR="00D026C7" w:rsidRPr="008C43FB">
        <w:rPr>
          <w:rFonts w:cstheme="minorHAnsi"/>
          <w:lang w:val="en-US"/>
        </w:rPr>
        <w:t xml:space="preserve"> was found </w:t>
      </w:r>
      <w:r w:rsidR="00F078EA" w:rsidRPr="008C43FB">
        <w:rPr>
          <w:rFonts w:cstheme="minorHAnsi"/>
          <w:lang w:val="en-US"/>
        </w:rPr>
        <w:t>for</w:t>
      </w:r>
      <w:r w:rsidR="00D026C7" w:rsidRPr="008C43FB">
        <w:rPr>
          <w:rFonts w:cstheme="minorHAnsi"/>
          <w:lang w:val="en-US"/>
        </w:rPr>
        <w:t xml:space="preserve"> CHD</w:t>
      </w:r>
      <w:r w:rsidR="006663FB" w:rsidRPr="008C43FB">
        <w:rPr>
          <w:rFonts w:cstheme="minorHAnsi"/>
          <w:lang w:val="en-US"/>
        </w:rPr>
        <w:t>s</w:t>
      </w:r>
      <w:r w:rsidR="00D026C7" w:rsidRPr="008C43FB">
        <w:rPr>
          <w:rFonts w:cstheme="minorHAnsi"/>
          <w:lang w:val="en-US"/>
        </w:rPr>
        <w:t xml:space="preserve"> </w:t>
      </w:r>
      <w:r w:rsidR="00F078EA" w:rsidRPr="008C43FB">
        <w:rPr>
          <w:rFonts w:cstheme="minorHAnsi"/>
          <w:lang w:val="en-US"/>
        </w:rPr>
        <w:t>with</w:t>
      </w:r>
      <w:r w:rsidR="00D026C7" w:rsidRPr="008C43FB">
        <w:rPr>
          <w:rFonts w:cstheme="minorHAnsi"/>
          <w:lang w:val="en-US"/>
        </w:rPr>
        <w:t xml:space="preserve"> first trimester exposure to glatiramer acetate or interferon beta 1 among r</w:t>
      </w:r>
      <w:r w:rsidRPr="008C43FB">
        <w:rPr>
          <w:rFonts w:cstheme="minorHAnsi"/>
          <w:lang w:val="en-US"/>
        </w:rPr>
        <w:t xml:space="preserve">egistrants with maternal MS </w:t>
      </w:r>
      <w:r w:rsidR="000A2644" w:rsidRPr="008C43FB">
        <w:rPr>
          <w:rFonts w:cstheme="minorHAnsi"/>
          <w:lang w:val="en-US"/>
        </w:rPr>
        <w:t>(Table 3</w:t>
      </w:r>
      <w:r w:rsidR="00D026C7" w:rsidRPr="008C43FB">
        <w:rPr>
          <w:rFonts w:cstheme="minorHAnsi"/>
          <w:lang w:val="en-US"/>
        </w:rPr>
        <w:t xml:space="preserve">). </w:t>
      </w:r>
    </w:p>
    <w:p w14:paraId="73EA0448" w14:textId="652C4902" w:rsidR="003025EA" w:rsidRPr="008C43FB" w:rsidRDefault="003025EA" w:rsidP="003025EA">
      <w:pPr>
        <w:pStyle w:val="Titre2"/>
        <w:numPr>
          <w:ilvl w:val="0"/>
          <w:numId w:val="12"/>
        </w:numPr>
        <w:rPr>
          <w:lang w:val="en-US"/>
        </w:rPr>
      </w:pPr>
      <w:r w:rsidRPr="008C43FB">
        <w:rPr>
          <w:lang w:val="en-US"/>
        </w:rPr>
        <w:t>Discussion</w:t>
      </w:r>
    </w:p>
    <w:p w14:paraId="57C80872" w14:textId="52649E45" w:rsidR="00DD5429" w:rsidRPr="008C43FB" w:rsidRDefault="000A2644" w:rsidP="003C7311">
      <w:pPr>
        <w:spacing w:line="360" w:lineRule="auto"/>
        <w:jc w:val="both"/>
        <w:rPr>
          <w:lang w:val="en-US"/>
        </w:rPr>
      </w:pPr>
      <w:r w:rsidRPr="008C43FB">
        <w:rPr>
          <w:rFonts w:cstheme="minorHAnsi"/>
          <w:lang w:val="en-US"/>
        </w:rPr>
        <w:lastRenderedPageBreak/>
        <w:t>Among the 210</w:t>
      </w:r>
      <w:r w:rsidR="00103A8E" w:rsidRPr="008C43FB">
        <w:rPr>
          <w:rFonts w:cstheme="minorHAnsi"/>
          <w:lang w:val="en-US"/>
        </w:rPr>
        <w:t>,</w:t>
      </w:r>
      <w:r w:rsidRPr="008C43FB">
        <w:rPr>
          <w:rFonts w:cstheme="minorHAnsi"/>
          <w:lang w:val="en-US"/>
        </w:rPr>
        <w:t xml:space="preserve">223 registrants included in the study population, 108 had mothers who were </w:t>
      </w:r>
      <w:r w:rsidR="003D1F21" w:rsidRPr="008C43FB">
        <w:rPr>
          <w:rFonts w:cstheme="minorHAnsi"/>
          <w:lang w:val="en-US"/>
        </w:rPr>
        <w:t xml:space="preserve">identified </w:t>
      </w:r>
      <w:r w:rsidRPr="008C43FB">
        <w:rPr>
          <w:rFonts w:cstheme="minorHAnsi"/>
          <w:lang w:val="en-US"/>
        </w:rPr>
        <w:t>with MS during or before pregnancy, of which 14 were exposed to glatiramer acetate and 10 to interferon beta</w:t>
      </w:r>
      <w:r w:rsidR="007941F0" w:rsidRPr="008C43FB">
        <w:rPr>
          <w:rFonts w:cstheme="minorHAnsi"/>
          <w:lang w:val="en-US"/>
        </w:rPr>
        <w:t>-</w:t>
      </w:r>
      <w:r w:rsidRPr="008C43FB">
        <w:rPr>
          <w:rFonts w:cstheme="minorHAnsi"/>
          <w:lang w:val="en-US"/>
        </w:rPr>
        <w:t xml:space="preserve">1a during the first trimester of pregnancy. </w:t>
      </w:r>
      <w:r w:rsidR="00B90DCE" w:rsidRPr="008C43FB">
        <w:rPr>
          <w:lang w:val="en-US"/>
        </w:rPr>
        <w:t>Compared with non-genetic controls, maternal MS was more frequent among registrants with gastroschisis</w:t>
      </w:r>
      <w:r w:rsidR="00110F64" w:rsidRPr="008C43FB">
        <w:rPr>
          <w:lang w:val="en-US"/>
        </w:rPr>
        <w:t>.</w:t>
      </w:r>
      <w:r w:rsidR="00B90DCE" w:rsidRPr="008C43FB">
        <w:rPr>
          <w:lang w:val="en-US"/>
        </w:rPr>
        <w:t xml:space="preserve"> </w:t>
      </w:r>
      <w:r w:rsidR="00110F64" w:rsidRPr="008C43FB">
        <w:rPr>
          <w:lang w:val="en-US"/>
        </w:rPr>
        <w:t>A</w:t>
      </w:r>
      <w:r w:rsidR="00FB2C8B" w:rsidRPr="008C43FB">
        <w:rPr>
          <w:lang w:val="en-US"/>
        </w:rPr>
        <w:t xml:space="preserve">mong registrants with maternal MS, </w:t>
      </w:r>
      <w:r w:rsidR="004B7672" w:rsidRPr="008C43FB">
        <w:rPr>
          <w:lang w:val="en-US"/>
        </w:rPr>
        <w:t xml:space="preserve">first trimester exposure to glatiramer acetate or interferon beta-1a </w:t>
      </w:r>
      <w:r w:rsidR="00106C38" w:rsidRPr="008C43FB">
        <w:rPr>
          <w:lang w:val="en-US"/>
        </w:rPr>
        <w:t>was not associated with CHD</w:t>
      </w:r>
      <w:r w:rsidR="006663FB" w:rsidRPr="008C43FB">
        <w:rPr>
          <w:lang w:val="en-US"/>
        </w:rPr>
        <w:t>s</w:t>
      </w:r>
      <w:r w:rsidR="00106C38" w:rsidRPr="008C43FB">
        <w:rPr>
          <w:lang w:val="en-US"/>
        </w:rPr>
        <w:t>.</w:t>
      </w:r>
      <w:r w:rsidR="00B90DCE" w:rsidRPr="008C43FB">
        <w:rPr>
          <w:lang w:val="en-US"/>
        </w:rPr>
        <w:t xml:space="preserve">  </w:t>
      </w:r>
    </w:p>
    <w:p w14:paraId="4EF55983" w14:textId="42E8AB58" w:rsidR="00AA4C82" w:rsidRPr="008C43FB" w:rsidRDefault="000A2644" w:rsidP="003C7311">
      <w:pPr>
        <w:spacing w:line="360" w:lineRule="auto"/>
        <w:jc w:val="both"/>
        <w:rPr>
          <w:lang w:val="en-US"/>
        </w:rPr>
      </w:pPr>
      <w:r w:rsidRPr="008C43FB">
        <w:rPr>
          <w:lang w:val="en-US"/>
        </w:rPr>
        <w:t xml:space="preserve">In our study, </w:t>
      </w:r>
      <w:r w:rsidR="00387689" w:rsidRPr="008C43FB">
        <w:rPr>
          <w:lang w:val="en-US"/>
        </w:rPr>
        <w:t xml:space="preserve">maternal MS </w:t>
      </w:r>
      <w:r w:rsidRPr="008C43FB">
        <w:rPr>
          <w:lang w:val="en-US"/>
        </w:rPr>
        <w:t>was</w:t>
      </w:r>
      <w:r w:rsidR="00387689" w:rsidRPr="008C43FB">
        <w:rPr>
          <w:lang w:val="en-US"/>
        </w:rPr>
        <w:t xml:space="preserve"> </w:t>
      </w:r>
      <w:r w:rsidR="00C6236C" w:rsidRPr="008C43FB">
        <w:rPr>
          <w:lang w:val="en-US"/>
        </w:rPr>
        <w:t xml:space="preserve">approximately eight times </w:t>
      </w:r>
      <w:r w:rsidR="00387689" w:rsidRPr="008C43FB">
        <w:rPr>
          <w:lang w:val="en-US"/>
        </w:rPr>
        <w:t xml:space="preserve">more </w:t>
      </w:r>
      <w:r w:rsidR="00C67432" w:rsidRPr="008C43FB">
        <w:rPr>
          <w:lang w:val="en-US"/>
        </w:rPr>
        <w:t xml:space="preserve">likely </w:t>
      </w:r>
      <w:r w:rsidR="00387689" w:rsidRPr="008C43FB">
        <w:rPr>
          <w:lang w:val="en-US"/>
        </w:rPr>
        <w:t xml:space="preserve">in fetuses/children with congenital gastroschisis </w:t>
      </w:r>
      <w:r w:rsidR="00E00D57" w:rsidRPr="008C43FB">
        <w:rPr>
          <w:lang w:val="en-US"/>
        </w:rPr>
        <w:t>than in</w:t>
      </w:r>
      <w:r w:rsidR="00387689" w:rsidRPr="008C43FB">
        <w:rPr>
          <w:lang w:val="en-US"/>
        </w:rPr>
        <w:t xml:space="preserve"> non-</w:t>
      </w:r>
      <w:r w:rsidR="00B763E2">
        <w:rPr>
          <w:lang w:val="en-US"/>
        </w:rPr>
        <w:t xml:space="preserve">genetic </w:t>
      </w:r>
      <w:r w:rsidR="00361DE2" w:rsidRPr="008C43FB">
        <w:rPr>
          <w:lang w:val="en-US"/>
        </w:rPr>
        <w:t>and</w:t>
      </w:r>
      <w:r w:rsidR="00E00D57" w:rsidRPr="008C43FB">
        <w:rPr>
          <w:lang w:val="en-US"/>
        </w:rPr>
        <w:t xml:space="preserve"> genetic controls. </w:t>
      </w:r>
      <w:r w:rsidR="00686E37" w:rsidRPr="008C43FB">
        <w:rPr>
          <w:lang w:val="en-US"/>
        </w:rPr>
        <w:t xml:space="preserve">However, </w:t>
      </w:r>
      <w:r w:rsidR="0054174D" w:rsidRPr="008C43FB">
        <w:rPr>
          <w:lang w:val="en-US"/>
        </w:rPr>
        <w:t xml:space="preserve">this </w:t>
      </w:r>
      <w:r w:rsidR="00686E37" w:rsidRPr="008C43FB">
        <w:rPr>
          <w:lang w:val="en-US"/>
        </w:rPr>
        <w:t>association</w:t>
      </w:r>
      <w:r w:rsidR="00865235" w:rsidRPr="008C43FB">
        <w:rPr>
          <w:lang w:val="en-US"/>
        </w:rPr>
        <w:t xml:space="preserve"> </w:t>
      </w:r>
      <w:r w:rsidR="0054174D" w:rsidRPr="008C43FB">
        <w:rPr>
          <w:lang w:val="en-US"/>
        </w:rPr>
        <w:t xml:space="preserve">is </w:t>
      </w:r>
      <w:r w:rsidR="00865235" w:rsidRPr="008C43FB">
        <w:rPr>
          <w:lang w:val="en-US"/>
        </w:rPr>
        <w:t xml:space="preserve">based on only three </w:t>
      </w:r>
      <w:r w:rsidR="00EE699F" w:rsidRPr="008C43FB">
        <w:rPr>
          <w:lang w:val="en-US"/>
        </w:rPr>
        <w:t xml:space="preserve">gastroschisis </w:t>
      </w:r>
      <w:r w:rsidR="00865235" w:rsidRPr="008C43FB">
        <w:rPr>
          <w:lang w:val="en-US"/>
        </w:rPr>
        <w:t>case</w:t>
      </w:r>
      <w:r w:rsidR="00761B53" w:rsidRPr="008C43FB">
        <w:rPr>
          <w:lang w:val="en-US"/>
        </w:rPr>
        <w:t>s</w:t>
      </w:r>
      <w:r w:rsidR="00CB6BBE" w:rsidRPr="008C43FB">
        <w:rPr>
          <w:lang w:val="en-US"/>
        </w:rPr>
        <w:t xml:space="preserve"> from registrants with maternal MS</w:t>
      </w:r>
      <w:r w:rsidR="00865235" w:rsidRPr="008C43FB">
        <w:rPr>
          <w:lang w:val="en-US"/>
        </w:rPr>
        <w:t xml:space="preserve">, results should therefore be interpreted with caution. </w:t>
      </w:r>
      <w:r w:rsidR="00D34F1A" w:rsidRPr="008C43FB">
        <w:rPr>
          <w:lang w:val="en-US"/>
        </w:rPr>
        <w:t>In addition, d</w:t>
      </w:r>
      <w:r w:rsidR="00865235" w:rsidRPr="008C43FB">
        <w:rPr>
          <w:lang w:val="en-US"/>
        </w:rPr>
        <w:t xml:space="preserve">ue to </w:t>
      </w:r>
      <w:r w:rsidR="00761B53" w:rsidRPr="008C43FB">
        <w:rPr>
          <w:lang w:val="en-US"/>
        </w:rPr>
        <w:t>the low</w:t>
      </w:r>
      <w:r w:rsidR="00865235" w:rsidRPr="008C43FB">
        <w:rPr>
          <w:lang w:val="en-US"/>
        </w:rPr>
        <w:t xml:space="preserve"> number of cases, </w:t>
      </w:r>
      <w:r w:rsidR="001418D4" w:rsidRPr="008C43FB">
        <w:rPr>
          <w:lang w:val="en-US"/>
        </w:rPr>
        <w:t xml:space="preserve">it was </w:t>
      </w:r>
      <w:r w:rsidR="00865235" w:rsidRPr="008C43FB">
        <w:rPr>
          <w:lang w:val="en-US"/>
        </w:rPr>
        <w:t xml:space="preserve">not possible to disentangle whether results were driven by the maternal disease itself or by exposure to DMTs. </w:t>
      </w:r>
      <w:r w:rsidR="00AA1FB4" w:rsidRPr="008C43FB">
        <w:rPr>
          <w:lang w:val="en-US"/>
        </w:rPr>
        <w:t>This association has not been reported in the literature to date, although to our knowledge, studies on this subject have focused on the overall risk of malformations and not specifically on gastroschisis</w:t>
      </w:r>
      <w:r w:rsidR="00C6236C" w:rsidRPr="008C43FB">
        <w:rPr>
          <w:lang w:val="en-US"/>
        </w:rPr>
        <w:t xml:space="preserve"> </w:t>
      </w:r>
      <w:r w:rsidR="00C6236C" w:rsidRPr="008C43FB">
        <w:rPr>
          <w:rFonts w:cstheme="minorHAnsi"/>
          <w:lang w:val="en-US"/>
        </w:rPr>
        <w:fldChar w:fldCharType="begin"/>
      </w:r>
      <w:r w:rsidR="00890BE5" w:rsidRPr="008C43FB">
        <w:rPr>
          <w:rFonts w:cstheme="minorHAnsi"/>
          <w:lang w:val="en-US"/>
        </w:rPr>
        <w:instrText xml:space="preserve"> ADDIN ZOTERO_ITEM CSL_CITATION {"citationID":"yZ0lnuVN","properties":{"formattedCitation":"[10\\uc0\\u8211{}18]","plainCitation":"[10–18]","noteIndex":0},"citationItems":[{"id":2570,"uris":["http://zotero.org/users/4535351/items/EM5SV8E2"],"itemData":{"id":2570,"type":"article-journal","abstract":"The majority of individuals obtaining the diagnosis of multiple sclerosis are women of childbearing age. They are naturally concerned as to how multiple sclerosis affects the course of pregnancy and the developing foetus. The objective of this study was to prospectively evaluate the incidence of pregnancy complications and delivery risks, and to follow the natural course of multiple sclerosis during and after pregnancy in a cohort of Finnish patients with multiple sclerosis. Sixty-one patients with multiple sclerosis who became pregnant during the years 2003-2005 were prospectively followed-up from early pregnancy until 6 months postpartum. Multiple sclerosis relapses, Expanded Disability Status Scale rates and obstetric details were recorded. The results were compared with the statistics obtained from Finnish Medical Birth Register from the year 2004. We found that patients with multiple sclerosis were no more likely to experience pregnancy complications than Finnish pregnant women generally, but they had a greater likelihood for a need of artificial insemination (4.9% vs. 0.9%; p = 0.0009). Subjects with multiple sclerosis were more likely to undergo assisted vaginal delivery than the at-large cohort (16.4% vs. 6.5%; p = 0.0017). We conclude that pregnancy does not seem to pose a woman with multiple sclerosis to a greater risk for pregnancy complications when compared with women in general. The potential need for instrumental delivery should, however, be taken into account when planning the delivery of a mother with multiple sclerosis.","container-title":"Multiple Sclerosis (Houndmills, Basingstoke, England)","DOI":"10.1177/1352458510372629","ISSN":"1477-0970","issue":"8","journalAbbreviation":"Mult Scler","language":"eng","page":"950-955","PMID":"20542921","source":"PubMed","title":"Pregnancy outcome in women with multiple sclerosis: results from a prospective nationwide study in Finland","title-short":"Pregnancy outcome in women with multiple sclerosis","volume":"16","author":[{"family":"Jalkanen","given":"A."},{"family":"Alanen","given":"A."},{"family":"Airas","given":"L."},{"literal":"Finnish Multiple Sclerosis and Pregnancy Study Group"}],"issued":{"date-parts":[["2010",8]]}}},{"id":2161,"uris":["http://zotero.org/users/4535351/items/CNHYJGCS"],"itemData":{"id":2161,"type":"article-journal","abstract":"Few studies have assessed the risk of adverse pregnancy outcomes in women with multiple sclerosis (MS). We used 2 large US administrative databases, the Truven Health MarketScan Database (2011-2015; Truven Health Analytics Inc., Ann Arbor, Michigan) and the Nationwide Inpatient Sample (2007-2011), to identify delivery cohorts. MS and pregnancy outcomes (infections, cesarean delivery, preterm delivery, poor fetal growth, preeclampsia, chorioamnionitis, postpartum hemorrhage, stillbirth, and infant malformations) were identified during pregnancy and at delivery. We calculated adjusted risk ratios according to MS status and relapse(s) in the year before delivery. Among over 5 million pregnancies, we identified 3,875 pregnancies in women with MS. Women with MS had an increased risk of infections during pregnancy (Truven Health: adjusted risk ratio (aRR) = 1.22, 95% confidence interval (CI): 1.16, 1.27) and preterm delivery (Truven Health: aRR = 1.19 (95% CI: 1.04, 1.35); Nationwide Inpatient Sample: aRR = 1.30 (95% CI: 1.16, 1.44)). The risks of other outcomes were similar for women with and without MS. In the Truven Health database, risk ratios for the pregnancy outcomes in women experiencing relapses versus those without relapses were between 0.9 and 1.4, and confidence intervals overlapped the null. Overall, women with MS had an increased risk of infections and preterm delivery; however, their risks for other adverse pregnancy outcomes were not elevated. Disease activity before delivery was not a strong predictor of outcomes.","container-title":"American Journal of Epidemiology","DOI":"10.1093/aje/kwy197","ISSN":"1476-6256","issue":"1","journalAbbreviation":"Am J Epidemiol","language":"eng","page":"57-66","PMID":"30165561","PMCID":"PMC6321796","source":"PubMed","title":"Pregnancy Outcomes in Women With Multiple Sclerosis","volume":"188","author":[{"family":"MacDonald","given":"Sarah C."},{"family":"McElrath","given":"Thomas F."},{"family":"Hernández-Díaz","given":"Sonia"}],"issued":{"date-parts":[["2019",1,1]]}}},{"id":2703,"uris":["http://zotero.org/users/4535351/items/F4YPZCF8"],"itemData":{"id":2703,"type":"article-journal","container-title":"Neurology","language":"en","page":"447-52","source":"pesquisa.bvsalud.org","title":"Birth hospitalization in mothers with multiple sclerosis and their newborns.","author":[{"family":"Lu","given":"Ellen"},{"family":"Zhao","given":"Yinshan"},{"family":"Zhu","given":"Feng"},{"family":"Kop","given":"Mia L.","non-dropping-particle":"van der"},{"family":"Synnes","given":"Anne"},{"family":"Dahlgren","given":"Leanne"},{"family":"Sadovnick","given":"A. Dessa"},{"family":"Sayao","given":"Ana-Luiza"},{"family":"Tremlett","given":"Helen"}],"issued":{"date-parts":[["2013"]]}}},{"id":2705,"uris":["http://zotero.org/users/4535351/items/CIHR6SI2"],"itemData":{"id":2705,"type":"article-journal","abstract":"OBJECTIVE: To examine the evidence guiding management of multiple sclerosis (MS) in reproductive-aged women.\nDATA SOURCES: We conducted an electronic literature search using PubMed, ClinicalTrials.gov, and other available resources. The following keywords were used: \"multiple sclerosis\" and \"pregnancy.\" We manually searched the reference lists of identified studies.\nMETHODS OF STUDY SELECTION: Two reviewers categorized all studies identified in the search by management topic, including effect of pregnancy on MS course, fetal risks associated with disease-modifying treatments during pregnancy, and management of patients off disease-modifying treatment. We categorized studies by strength of evidence and included prior meta-analyses and systematic studies. These studies were then summarized and discussed by an expert multidisciplinary team.\nTABULATION, INTEGRATION, AND RESULTS: The risk of MS relapses is decreased during pregnancy and increased postpartum. Data are lacking regarding the risks of disease-modifying treatments during pregnancy. There may be an increased risk of MS relapses after use of assisted reproductive techniques. There does not appear to be a major increase in adverse outcomes in newborns of mothers with MS.\nCONCLUSION: Although there are many unmet research needs, the reviewed data support the conclusion that in the majority of cases, women with MS can safely choose to become pregnant, give birth, and breastfeed children. Clinical management should be individualized to optimize both the mother's reproductive outcomes and MS course.","container-title":"Obstetrics and Gynecology","DOI":"10.1097/AOG.0000000000000541","ISSN":"1873-233X","issue":"6","journalAbbreviation":"Obstet Gynecol","language":"eng","page":"1157-1168","PMID":"25415167","source":"PubMed","title":"Management of multiple sclerosis during pregnancy and the reproductive years: a systematic review","title-short":"Management of multiple sclerosis during pregnancy and the reproductive years","volume":"124","author":[{"family":"Bove","given":"Riley"},{"family":"Alwan","given":"Sura"},{"family":"Friedman","given":"Jan M."},{"family":"Hellwig","given":"Kerstin"},{"family":"Houtchens","given":"Maria"},{"family":"Koren","given":"Gideon"},{"family":"Lu","given":"Ellen"},{"family":"McElrath","given":"Thomas F."},{"family":"Smyth","given":"Penelope"},{"family":"Tremlett","given":"Helen"},{"family":"Sadovnick","given":"A. Dessa"}],"issued":{"date-parts":[["2014",12]]}}},{"id":2707,"uris":["http://zotero.org/users/4535351/items/YFM65US9"],"itemData":{"id":2707,"type":"article-journal","abstract":"INTRODUCTION: Women represent two-thirds of the MS population and are usually diagnosed during childbearing age. Collection of local information about pregnancy outcomes is fundamental to support individual decision-making.\nOBJECTIVE: To explore the trends in pregnancy decision making and pregnancy outcomes before (PreMS) and after (PostMS) MS diagnosis.\nMETHODS: We developed a questionnaire for retrospective assessment of pregnancy outcomes in PreMS and PostMS patients under regular care at the Programa de Esclerosis Multiple UC in Chile.\nRESULTS: From the 218 women who responded to the questionnaire, 67 women did not have pregnancies. The total number of pregnancies registered was 299, 223 were PreMS (97 women, mean 2.5 ± 1.3 per/woman), and 76 PostMS (59 women, mean 1.9 ± 1.1 per/woman, p = 0.003). Mean age at first pregnancy was 27.6 ± 6.2 in PreMS, and 32.6 ± 4.6 years in PostMS women (p &lt; 0.001). Significant differences between PreMS and PostMS pregnancy outcomes were cesarean section (37% vs. 66%; OR 2.74 95%CI(1.5-52), p=0.002), suspected relapse during 6 months after birth (7% vs. 18%, p&lt;0.001), and breastfeeding (83% vs 67%, p=0.005). Gestational age, weight/size at birth, were not different between groups. Major malformations were observed similarly in both groups.\nCONCLUSIONS: Changes in pregnancy decision-making after MS diagnosis occur, having fewer children and at an older age. It also changes obstetrician decisions for cesarean sections, with a 3 fold increase. Regarding newborn outcomes, there were no differences between groups.","container-title":"Multiple Sclerosis and Related Disorders","DOI":"10.1016/j.msard.2020.102682","ISSN":"2211-0356","journalAbbreviation":"Mult Scler Relat Disord","language":"eng","page":"102682","PMID":"33321343","source":"PubMed","title":"Pregnancy outcomes in women with Multiple Sclerosis","volume":"48","author":[{"family":"Soler","given":"Bernardita"},{"family":"Ciampi","given":"Ethel"},{"family":"Uribe-San-Martín","given":"Reinaldo"},{"family":"Keller","given":"Karina"},{"family":"Astudillo","given":"Macarena"},{"family":"Charaf","given":"Valeria"},{"family":"Reyes","given":"Ana"},{"family":"Vergara","given":"Elizabeth"},{"family":"Cárcamo","given":"Claudia"}],"issued":{"date-parts":[["2021",2]]}}},{"id":2084,"uris":["http://zotero.org/users/4535351/items/GT9HPUQK"],"itemData":{"id":2084,"type":"article-journal","abstract":"Objective\nTo compare pregnancy prevalence and complications in women with and without multiple sclerosis (MS).\n\nMethods\nThis retrospective US administrative claims study used data from January 1, 2006, to June 30, 2015. All data for women with MS were included. A nationally representative 5% random sample from approximately 58 million women without MS was used to compute the dataset. Annual pregnancy rates, identified via diagnosis/procedure codes and adjusted for covariates, were estimated via logistic regression. Claims for pregnancy and labor/delivery complications were compared using propensity score matching.\n\nResults\nFrom 2006 to 2014, the adjusted proportion of women with MS and pregnancy increased from 7.91% to 9.47%; the adjusted proportion without MS and with pregnancy decreased from 8.83% to 7.75%. The difference in linear trend (0.17% increase and 0.15% decrease in per-annum pregnancy rates) was significant (t statistic = 7.8; p &lt; 0.0001). After matching (n = 2,115 per group), a higher proportion of women with MS than without had claims for premature labor (31.4% vs 27.4%; p = 0.005), infection (13.3% vs 10.9%; p = 0.016), cardiovascular disease (3.0% vs 1.9%; p = 0.028), anemia/acquired coagulation disorders (2.5% vs 1.3%; p = 0.007), neurologic complications (1.6% vs 0.6%; p = 0.005), sexually transmitted diseases (0.4% vs 0.1%; p = 0.045), acquired fetal damage (27.8% vs 23.5%; p = 0.002), and congenital fetal malformations (13.2% vs 10.3%; p = 0.004).\n\nConclusions\nPregnancy rates in this population of women with MS have been increasing. High rates of claims for several peripartum complications were observed in women with and those without MS. Claims data provide knowledge of interactions patients have with the health care system and are valuable initial exploratory analyses.","container-title":"Neurology","DOI":"10.1212/WNL.0000000000006384","ISSN":"0028-3878","issue":"17","journalAbbreviation":"Neurology","page":"e1559-e1569","PMID":"30266889","PMCID":"PMC6205683","source":"PubMed Central","title":"Pregnancy rates and outcomes in women with and without MS in the United States","volume":"91","author":[{"family":"Houtchens","given":"Maria K."},{"family":"Edwards","given":"Natalie C."},{"family":"Schneider","given":"Gary"},{"family":"Stern","given":"Kevin"},{"family":"Phillips","given":"Amy L."}],"issued":{"date-parts":[["2018",10,23]]}}},{"id":2534,"uris":["http://zotero.org/users/4535351/items/8GCA9N5T"],"itemData":{"id":2534,"type":"article-journal","abstract":"Objectives\nThe impact of multiple sclerosis (MS) on maternal and neonatal outcomes is not well known. This systematic review and meta-analysis aimed to study the impacts of MS on maternal and neonatal outcomes in pregnant women with a history of MS.\nMethods\nThis review was designed in line with the PRISMA guidelines. Two researchers conducted independent reviews of the literature without time restrictions until January 2023 using international databases, including PubMed, Web of Science, CINAHL Plus, Embase, Scopus, Science Direct, and Google Scholar. A random-effect meta-analysis, using the db metan command in Stata 17.2 was used to calculate the pooled measure of association.\nResults\nThe meta-analysis comprised 33,174,541 pregnant women (32,191 with MS and 33,142,350 as controls) from 15 studies. The findings indicate that women with a history of MS are at an increased risk of cesarean delivery (OR=1.28, 95% Confidence Intervals [CI]: 1.14-1.45, p-value: 0.042). Also, these women are at higher risk of neonatal outcomes, such as preterm birth (OR= 1.39, 95% CI: 1.08-1.78, p-value: 0.02), congenital malformations (OR=1.32, 95%CI: 1.16-1.50, p-value: 0.031), Apgar score &lt;7 (OR=2.13, 95% CI: 1.19-3.79, p-value: 0.03), and small for gestational age (OR=1.27, 95% CI: 1.08-1.51, p-value: 0.040).\nConclusion\nPregnant women with MS had a greater chance of adverse pregnancy results than pregnant women without MS. Consequently, pregnant women with MS should create detailed before and after pregnancy to care for and take supplement, plans with their spouses, family, friends, and doctors. Future studies with prospective cohort design that control for potential confounders are needed to further validate the findings.","container-title":"Midwifery","DOI":"10.1016/j.midw.2024.104004","ISSN":"0266-6138","journalAbbreviation":"Midwifery","page":"104004","source":"ScienceDirect","title":"Maternal and neonatal outcomes in pregnant women with multiple sclerosis disease: a systematic review and meta-analysis","title-short":"Maternal and neonatal outcomes in pregnant women with multiple sclerosis disease","author":[{"family":"Rahmati","given":"Shoboo"},{"family":"Galavi","given":"Zahra"},{"family":"Kavyani","given":"Batoul"},{"family":"Arshadi","given":"Homa"},{"family":"Geerts","given":"Jaason"},{"family":"Sharifi","given":"Hamid"}],"issued":{"date-parts":[["2024",4,21]]}}},{"id":2614,"uris":["http://zotero.org/users/4535351/items/CASSQJRG"],"itemData":{"id":2614,"type":"article-journal","abstract":"There is a strong maternal parent-of-origin effect in determining susceptibility to multiple sclerosis (MS). One hypothesis is that an abnormal intrauterine milieu leading to impaired fetal development could plausibly also result in increased susceptibility to MS. A possible marker for this intrauterine insult is the presence of a non-fatal congenital anomaly.","container-title":"BMC Neurology","DOI":"10.1186/1471-2377-10-115","ISSN":"1471-2377","issue":"1","journalAbbreviation":"BMC Neurol","language":"en","page":"115","source":"Springer Link","title":"Congenital Abnormalities and Multiple Sclerosis","volume":"10","author":[{"family":"Ramagopalan","given":"Sreeram V."},{"family":"Guimond","given":"Colleen"},{"family":"Criscuoli","given":"Maria"},{"family":"Dyment","given":"David A."},{"family":"Orton","given":"Sarah-Michelle"},{"family":"Yee","given":"Irene M."},{"family":"Ebers","given":"George C."},{"family":"Sadovnick","given":"Dessa"}],"issued":{"date-parts":[["2010",11,16]]}}},{"id":2619,"uris":["http://zotero.org/users/4535351/items/V9TTQPXM"],"itemData":{"id":2619,"type":"article-journal","abstract":"Objective: To assess whether maternal multiple sclerosis (MS) is associated with adverse pregnancy outcomes by determining the clinical course of disease during pregnancy and postpartum throughout a 10-year-period in a single tertiary center. Methods: We conducted a case-control study that included pregnancies with a definitive diagnosis of MS (n=43), matched with 100 healthy pregnant women with similar characteristics. Maternal and perinatal data were retrieved from hospital files. Groups were compared with the Mann-Whitney and χ 2 tests. Logistic regression models were constructed to determine independent effects. Results: Maternal demographic and baseline laboratory data were similar across the groups. Rates of preterm delivery, fetal growth restriction, preeclampsia, gestational diabetes, stillbirth, cesarean delivery, congenital malformation, and 5-min Apgar score were comparable (P&amp;gt;0.05 for all). General anesthesia during cesarean delivery (96% vs. 39%, P=0.002), urinary tract infection (UTI) (12% vs. 3%, P=0.04), low 1-min Apgar score (21% vs. 9%, P=0.04), and nonbreastfeeding (33% vs. 2%, P=0.001) were more frequent in women with MS. The low 1-min Apgar score and breastfeeding rates were independent of general anesthesia and UTI in regression models. Conclusion: MS during pregnancy was not associated with adverse maternal and perinatal outcomes except UTI, low 1-min Apgar scores, and decreased breastfeeding rates.","container-title":"Journal of Perinatal Medicine","DOI":"10.1515/jpm-2016-0060","ISSN":"1619-3997","issue":"4","language":"en","license":"De Gruyter expressly reserves the right to use all content for commercial text and data mining within the meaning of Section 44b of the German Copyright Act.","page":"455-460","publisher":"De Gruyter","source":"www.degruyter.com","title":"Maternal and perinatal outcomes in pregnancies with multiple sclerosis: a case-control study","title-short":"Maternal and perinatal outcomes in pregnancies with multiple sclerosis","volume":"45","author":[{"family":"Yalcin","given":"Serenat Eris"},{"family":"Yalcin","given":"Yakup"},{"family":"Yavuz","given":"And"},{"family":"Akkurt","given":"Mehmet Ozgur"},{"family":"Sezik","given":"Mekin"}],"issued":{"date-parts":[["2017",5,1]]}}}],"schema":"https://github.com/citation-style-language/schema/raw/master/csl-citation.json"} </w:instrText>
      </w:r>
      <w:r w:rsidR="00C6236C" w:rsidRPr="008C43FB">
        <w:rPr>
          <w:rFonts w:cstheme="minorHAnsi"/>
          <w:lang w:val="en-US"/>
        </w:rPr>
        <w:fldChar w:fldCharType="separate"/>
      </w:r>
      <w:r w:rsidR="00C6236C" w:rsidRPr="008C43FB">
        <w:rPr>
          <w:rFonts w:ascii="Calibri" w:hAnsi="Calibri" w:cs="Calibri"/>
          <w:szCs w:val="24"/>
          <w:lang w:val="en-US"/>
        </w:rPr>
        <w:t>[10–18]</w:t>
      </w:r>
      <w:r w:rsidR="00C6236C" w:rsidRPr="008C43FB">
        <w:rPr>
          <w:rFonts w:cstheme="minorHAnsi"/>
          <w:lang w:val="en-US"/>
        </w:rPr>
        <w:fldChar w:fldCharType="end"/>
      </w:r>
      <w:r w:rsidR="00AA1FB4" w:rsidRPr="008C43FB">
        <w:rPr>
          <w:lang w:val="en-US"/>
        </w:rPr>
        <w:t xml:space="preserve">. </w:t>
      </w:r>
      <w:r w:rsidR="00364DDC" w:rsidRPr="008C43FB">
        <w:rPr>
          <w:lang w:val="en-US"/>
        </w:rPr>
        <w:t xml:space="preserve">While some risk factors for gastroschisis, such as </w:t>
      </w:r>
      <w:r w:rsidR="00F37CCB" w:rsidRPr="008C43FB">
        <w:rPr>
          <w:lang w:val="en-US"/>
        </w:rPr>
        <w:t xml:space="preserve">low </w:t>
      </w:r>
      <w:r w:rsidR="00364DDC" w:rsidRPr="008C43FB">
        <w:rPr>
          <w:lang w:val="en-US"/>
        </w:rPr>
        <w:t xml:space="preserve">maternal age, </w:t>
      </w:r>
      <w:r w:rsidR="00F37CCB" w:rsidRPr="008C43FB">
        <w:rPr>
          <w:lang w:val="en-US"/>
        </w:rPr>
        <w:t xml:space="preserve">poor </w:t>
      </w:r>
      <w:r w:rsidR="00364DDC" w:rsidRPr="008C43FB">
        <w:rPr>
          <w:lang w:val="en-US"/>
        </w:rPr>
        <w:t xml:space="preserve">nutrition, stress, </w:t>
      </w:r>
      <w:r w:rsidR="00E636AE" w:rsidRPr="008C43FB">
        <w:rPr>
          <w:lang w:val="en-US"/>
        </w:rPr>
        <w:t xml:space="preserve">alcohol, smoking, urinary tract or sexually transmitted infection in early pregnancy </w:t>
      </w:r>
      <w:r w:rsidR="00364DDC" w:rsidRPr="008C43FB">
        <w:rPr>
          <w:lang w:val="en-US"/>
        </w:rPr>
        <w:t xml:space="preserve">have been identified, its causes remain largely unknown </w:t>
      </w:r>
      <w:r w:rsidR="00364DDC" w:rsidRPr="008C43FB">
        <w:rPr>
          <w:lang w:val="en-US"/>
        </w:rPr>
        <w:fldChar w:fldCharType="begin"/>
      </w:r>
      <w:r w:rsidR="00890BE5" w:rsidRPr="008C43FB">
        <w:rPr>
          <w:lang w:val="en-US"/>
        </w:rPr>
        <w:instrText xml:space="preserve"> ADDIN ZOTERO_ITEM CSL_CITATION {"citationID":"UqJ7MddX","properties":{"formattedCitation":"[31\\uc0\\u8211{}35]","plainCitation":"[31–35]","noteIndex":0},"citationItems":[{"id":2966,"uris":["http://zotero.org/users/4535351/items/ZWXA5UGV"],"itemData":{"id":2966,"type":"article-journal","abstract":"La gastrosquisis es un defecto estructural congénito de la pared abdominal, localizado con mayor frecuencia a la derecha del ombligo, a través del cual sobresalen las vísceras abdominales. Durante mucho tiempo, sus aspectos evolutivos, etiológicos y epidemiológicos han sido un tema candente de controversia, aunque hallazgos recientes sugieren la participación de alteraciones genéticas, cromosómicas, y la existencia de una vía patogénica inductora de estrés, en la que factores de riesgo como los demográficos y ambientales pueden converger.\nCon el objetivo de ampliar la frontera del conocimiento sobre una malformación que ha mostrado una creciente prevalencia global, hemos efectuado una revisión que incluye información, &amp;nbsp;del desarrollo embrionario de la pared corporal ventral, el intestino primitivo, &amp;nbsp;el complejo anillo-cordón umbilical, y de las teorías acerca de su origen, patogénesis e información epidemiológica reciente.","archive_location":"Embryonic development during the third and fourth weeks. Cross-sections","container-title":"Colombia Medica","DOI":"10.25100/cm.v52i3.4227","ISSN":"1657-9534","issue":"3","language":"es","license":"Copyright (c) 2021 Universidad del Valle","note":"number: 3","page":"e4004227-e4004227","source":"colombiamedica.univalle.edu.co","title":"Nuevas pistas para comprender la gastrosquisis. Embriología, patogénesis y epidemiología","volume":"52","author":[{"family":"Chuaire-Noack","given":"Lilian"}],"issued":{"date-parts":[["2021",6,29]]}}},{"id":3196,"uris":["http://zotero.org/users/4535351/items/RHUTUCCS"],"itemData":{"id":3196,"type":"article-journal","abstract":"BACKGROUND: Gastroschisis is particularly prevalent among offspring of young women and has increased over recent decades. Although previous studies suggest that maternal alcohol consumption is associated with increased gastroschisis risk, none have explored whether maternal age modifies that association.\nOBJECTIVE: The objective of the study was to evaluate associations between self-reported maternal periconceptional alcohol consumption (1 month prior through the third month after conception) and risk of gastroschisis among offspring, by maternal age.\nMETHODS: We used data from the National Birth Defects Prevention Study (NBDPS), a multi-site population-based case-control study. The analysis included 1450 gastroschisis cases and 11,829 unaffected liveborn controls delivered during 1997-2011 in ten US states. We estimated adjusted odds ratios (aOR) and 95% confidence intervals (CI) for the individual and joint effects of alcohol consumption and young maternal age at delivery (&lt;25 years vs ≥25 years) on gastroschisis risk. We estimated the relative excess risk due to interaction (RERI) to quantify additive interaction.\nRESULTS: Periconceptional alcohol consumption was common regardless of maternal age (women &lt;25 years: cases 38.8%, controls 29.3%; women ≥25: cases 43.5%, controls 39.5%). Compared with women ≥25 years who did not consume alcohol, we observed increased risk of gastroschisis among women &lt;25 years, with higher estimates among those who consumed alcohol (women &lt;25 years who did not consume alcohol. aOR 5.90, 95% CI 4.89, 7.11; women &lt;25 years who did consume alcohol: aOR 8.21, 95% CI 6.69, 10.07). Alcohol consumption among women ≥25 years was not associated with gastroschisis (aOR 1.12, 95% CI 0.88, 1.42). This suggests super-additive interaction between alcohol consumption and maternal age (RERI -2.19, 95% CI 1.02, 3.36).\nCONCLUSIONS: Periconceptional alcohol consumption may disproportionately increase risk of gastroschisis among young mothers. Our findings support public health recommendations to abstain from alcohol consumption during pregnancy.","container-title":"Paediatric and Perinatal Epidemiology","DOI":"10.1111/ppe.12882","ISSN":"1365-3016","issue":"6","journalAbbreviation":"Paediatr Perinat Epidemiol","language":"eng","page":"782-791","PMID":"35437856","PMCID":"PMC9990374","source":"PubMed","title":"Maternal periconceptional alcohol consumption and gastroschisis in the National Birth Defects Prevention Study, 1997-2011","volume":"36","author":[{"family":"Fisher","given":"Sarah C."},{"family":"Howley","given":"Meredith M."},{"family":"Romitti","given":"Paul A."},{"family":"Desrosiers","given":"Tania A."},{"family":"Jabs","given":"Ethylin Wang"},{"family":"Browne","given":"Marilyn L."},{"literal":"National Birth Defects Prevention Study"}],"issued":{"date-parts":[["2022",11]]}}},{"id":3199,"uris":["http://zotero.org/users/4535351/items/HQGV7FV8"],"itemData":{"id":3199,"type":"article-journal","abstract":"BACKGROUND: Smoking is one of the most important modifiable risk factors for adverse maternal and neonatal outcomes. Smoking during pregnancy has been associated with fetal growth restriction, adverse pregnancy outcomes, and chronic adult diseases. Existing research has evaluated the risk of smoking on congenital defects. However, no studies have evaluated how periconception smoking affects birth defects.\nOBJECTIVE: The purpose of this study was to assess the association of maternal smoking and the timing of periconception exposure with congenital birth defects.\nSTUDY DESIGN: This study was a population-based retrospective cohort of live births in Ohio from 2006-2015 with the use of data from birth certificates. Rates of cardiovascular, musculoskeletal, gastrointestinal, and neural tube birth defects were compared between a referent group of women who did not smoke and a group of women who smoked (1) during the preconception period of 3 months before conception only and not in the first trimester and (2) in the preconception period plus throughout the first trimester of pregnancy. Multivariate logistic regression was used to quantify the relationship between periconception smoking and the rate of birth defects after adjustment for maternal race, age, pregestational diabetes mellitus, and socioeconomic factors.\nRESULTS: Of the 1,436,036 live births in the study period, 75% of mothers did not smoke during the preconception period or during pregnancy. There were 334,156 women (23.3%) who smoked during pregnancy; 6.0% of the population smoked preconception only, and 17.3% of the population smoked both during the preconception period and through the first trimester. Smoking during the preconception period only, even without first trimester exposure, was associated with a 40% increased risk of gastroschisis. Smoking that was limited to preconception only was not associated with any other individual birth defects. However, smoking through the first trimester was associated with a statistically significant increased risk of several defects that included gastroschisis and limb reduction and a composite outcome of any defect, even after adjustment for coexisting factors.\nCONCLUSION: Smoking during the period of fetal organogenesis (during the first trimester of pregnancy) is associated with increased risk of some birth defects. In this study, we provide novel data that smoking during the few months before conception, even with cessation in the first trimester, may also pose a risk for fetal malformation such as gastroschisis. These findings highlight the importance of preconception women's public health education efforts and warrant further investigation.","container-title":"American Journal of Obstetrics and Gynecology","DOI":"10.1016/j.ajog.2019.02.029","ISSN":"1097-6868","issue":"6","journalAbbreviation":"Am J Obstet Gynecol","language":"eng","page":"588.e1-588.e7","PMID":"30790570","source":"PubMed","title":"Influence of periconception smoking behavior on birth defect risk","volume":"220","author":[{"family":"Perry","given":"Madeline F."},{"family":"Mulcahy","given":"Helen"},{"family":"DeFranco","given":"Emily A."}],"issued":{"date-parts":[["2019",6]]}}},{"id":3201,"uris":["http://zotero.org/users/4535351/items/W8NKUN2G"],"itemData":{"id":3201,"type":"article-journal","abstract":"Genitourinary infections (GUIs) have been associated with increased risk of gastroschisis in 2 studies. Using data collected in the Slone Epidemiology Center Birth Defects Study, we examined the association between GUI and gastroschisis. From 1998 to 2010, mothers of 249 gastroschisis cases and 7,104 controls were interviewed within 6 months of delivery about pregnancy events, including vaginal infections, genital herpes, urinary tract infections (UTIs), and other sexually transmitted diseases (STDs). Women were considered exposed if they reported at least 1 instance of a GUI in the first trimester. Logistic regression models were used to calculate odds ratios and 95% confidence intervals. Women who reported having any GUI had an adjusted odds ratio of 1.8 (95% confidence interval (CI): 1.3, 2.4). The highest risk was seen among women who reported a UTI only (adjusted odds ratio = 2.3, 95% CI: 1.5, 3.5), while the odds ratio for an STD only was slightly elevated (adjusted odds ratio = 1.2, 95% CI: 1.0, 1.5). Among women under 25 years of age, the odds ratio for UTI only was 2.6 (95% CI: 1.7, 4.0), and among older women it was 1.8 (95% CI: 0.6, 5.9). When we considered the joint association of UTIs and young maternal age, a synergistic effect was observed. The results of this study add further evidence that UTIs may increase the risk of gastroschisis.","container-title":"American Journal of Epidemiology","DOI":"10.1093/aje/kwu157","ISSN":"1476-6256","issue":"5","journalAbbreviation":"Am J Epidemiol","language":"eng","page":"518-525","PMID":"25073472","PMCID":"PMC4143079","source":"PubMed","title":"Maternal genitourinary infections and the risk of gastroschisis","volume":"180","author":[{"family":"Yazdy","given":"Mahsa M."},{"family":"Mitchell","given":"Allen A."},{"family":"Werler","given":"Martha M."}],"issued":{"date-parts":[["2014",9,1]]}}},{"id":3204,"uris":["http://zotero.org/users/4535351/items/6CNKG88X"],"itemData":{"id":3204,"type":"article-journal","abstract":"BACKGROUND: Gastroschisis is a congenital anomaly of the umbilical ring with increasing prevalence, especially amongst younger mothers. There is increasing evidence that exposure to genitourinary infections (GUTI) may play an important role in the etiology of gastroschisis. This systematic review and meta-analysis aimed to identify, appraise, and summarize the literature on exposure to GUTI and gastroschisis.\nMETHODS: Six electronic databases (MEDLINE, EMBASE, Web of Science, Scopus, Cochrane Library electronic databases, and Prospero) were searched using a comprehensive search strategy. Citations and cited articles for all included studies were searched. Peer-reviewed, quantitative studies reporting an association of urinary tract infections (UTI) and/or sexually transmitted infections (STI) with gastroschisis were included. Prospero registration CRD42022377420.\nRESULTS: A total of 2392 papers were identified via the searches of which 15 met our inclusion criteria and were included after title and abstract and full text screening. The study period for included studies ranged from 1995 to 2016, most were from the USA. Four studies considering exposure to STIs and five to UTIs were eligible to progress to meta-analysis. Meta-analysis identified a significantly increased risk of gastroschisis in association with periconceptional exposure to UTI [OR 1.54 (95% CI 1.29, 1.8)], STI [OR 1.4 (95% CI 1.01, 1.79)].\nCONCLUSIONS: Periconceptional exposure to GUTI is associated with an increased risk of gastroschisis. The prevention and timely treatment of GUTI amongst women of childbearing age may help to reduce the occurrence of gastroschisis.","container-title":"Birth Defects Research","DOI":"10.1002/bdr2.2377","ISSN":"2472-1727","issue":"7","journalAbbreviation":"Birth Defects Res","language":"eng","page":"e2377","PMID":"38946111","source":"PubMed","title":"Genitourinary infection and gastroschisis: A systematic review and meta-analysis","title-short":"Genitourinary infection and gastroschisis","volume":"116","author":[{"family":"Vinogradov","given":"Raya"},{"family":"Muthupunnackal","given":"Annie"},{"family":"Moffat","given":"Malcolm"},{"family":"Rankin","given":"Judith"}],"issued":{"date-parts":[["2024",7]]}}}],"schema":"https://github.com/citation-style-language/schema/raw/master/csl-citation.json"} </w:instrText>
      </w:r>
      <w:r w:rsidR="00364DDC" w:rsidRPr="008C43FB">
        <w:rPr>
          <w:lang w:val="en-US"/>
        </w:rPr>
        <w:fldChar w:fldCharType="separate"/>
      </w:r>
      <w:r w:rsidR="00E636AE" w:rsidRPr="008C43FB">
        <w:rPr>
          <w:rFonts w:ascii="Calibri" w:hAnsi="Calibri" w:cs="Calibri"/>
          <w:szCs w:val="24"/>
          <w:lang w:val="en-US"/>
        </w:rPr>
        <w:t>[31–35]</w:t>
      </w:r>
      <w:r w:rsidR="00364DDC" w:rsidRPr="008C43FB">
        <w:rPr>
          <w:lang w:val="en-US"/>
        </w:rPr>
        <w:fldChar w:fldCharType="end"/>
      </w:r>
      <w:r w:rsidR="00364DDC" w:rsidRPr="008C43FB">
        <w:rPr>
          <w:lang w:val="en-US"/>
        </w:rPr>
        <w:t xml:space="preserve">. However, an association between maternal immune-related diseases and abdominal wall defects has been reported, indicating a possible link between immune disorders and these anomalies that warrants further exploration </w:t>
      </w:r>
      <w:r w:rsidR="00364DDC" w:rsidRPr="008C43FB">
        <w:rPr>
          <w:lang w:val="en-US"/>
        </w:rPr>
        <w:fldChar w:fldCharType="begin"/>
      </w:r>
      <w:r w:rsidR="00E636AE" w:rsidRPr="008C43FB">
        <w:rPr>
          <w:lang w:val="en-US"/>
        </w:rPr>
        <w:instrText xml:space="preserve"> ADDIN ZOTERO_ITEM CSL_CITATION {"citationID":"GgLPxwq2","properties":{"formattedCitation":"[36]","plainCitation":"[36]","noteIndex":0},"citationItems":[{"id":2951,"uris":["http://zotero.org/users/4535351/items/UXWUHLHP"],"itemData":{"id":2951,"type":"article-journal","abstract":"In the last decades, the prevalence of gastroschisis (GS) has increased worldwide. The purpose of this study was to identify maternal risk factors explaining the described gain and to identify differences between GS and omphalocele (OC). A case-control design was used to compare GS (n = 36) and OC (n = 18) mothers to control group (CG; n = 30) matched for maternal age. Specialized questionnaires and mothers' prenatal records were used, and participants completed a structured interview. Focus was on medical history, changing nutrition, drug consumption, and external risk factors. The local ethics committee approved this study. GS mothers were significantly younger (mean 23.00; median 24; SD ±5) than OC (P = 0.007; mean 28.61; median 28, 19-41; SD ±5.1) and CG (P = 0.001; mean 30.77; median 31, SD ±6.2). Mothers with abdominal wall defects (AWD) ingested antibiotics more often (P = 0.008) than CG. Socioeconomic characteristics, for example, level of profession, of GS mothers was significantly lower than OC (P = 0.039) and CG (P = 0.05) mothers, and their cohabitation time was shorter (P &lt; 0.05; mean 35 month/median 24 month, SD ±35.8). Incidence of OC significantly increased after hormonal treatment (P = 0.022) and invasive prenatal diagnostics (P &lt; 0.05) compared to GS. GS mothers took folic acid prophylaxis less often than OC (P = 0.02). Smoking, illicit drugs, and external risks like herbicides showed no influence, but GS mothers drink significantly more often alcohol (P = 0.05). We confirmed an increased risk for GS if several factors such as young maternal age, short cohabitation time, and usage of antibiotics coincide with alcohol consumption and associated immune diseases. OC increased after hormonal treatment and invasive prenatal diagnostics.","container-title":"Congenital Anomalies","DOI":"10.1111/cga.12336","ISSN":"1741-4520","issue":"2","language":"en","license":"© 2019 Japanese Teratology Society","note":"_eprint: https://onlinelibrary.wiley.com/doi/pdf/10.1111/cga.12336","page":"54-61","source":"Wiley Online Library","title":"Risk factors for abdominal wall defects","volume":"60","author":[{"family":"Kapapa","given":"Melanie"},{"family":"Rieg","given":"Teresa"},{"family":"Henne-Bruns","given":"Doris"},{"family":"Serra","given":"Alexandre"}],"issued":{"date-parts":[["2020"]]}}}],"schema":"https://github.com/citation-style-language/schema/raw/master/csl-citation.json"} </w:instrText>
      </w:r>
      <w:r w:rsidR="00364DDC" w:rsidRPr="008C43FB">
        <w:rPr>
          <w:lang w:val="en-US"/>
        </w:rPr>
        <w:fldChar w:fldCharType="separate"/>
      </w:r>
      <w:r w:rsidR="00E636AE" w:rsidRPr="008C43FB">
        <w:rPr>
          <w:rFonts w:ascii="Calibri" w:hAnsi="Calibri" w:cs="Calibri"/>
          <w:lang w:val="en-US"/>
        </w:rPr>
        <w:t>[36]</w:t>
      </w:r>
      <w:r w:rsidR="00364DDC" w:rsidRPr="008C43FB">
        <w:rPr>
          <w:lang w:val="en-US"/>
        </w:rPr>
        <w:fldChar w:fldCharType="end"/>
      </w:r>
      <w:r w:rsidR="00364DDC" w:rsidRPr="008C43FB">
        <w:rPr>
          <w:lang w:val="en-US"/>
        </w:rPr>
        <w:t xml:space="preserve">. </w:t>
      </w:r>
    </w:p>
    <w:p w14:paraId="57C80875" w14:textId="5E632475" w:rsidR="001943EE" w:rsidRPr="008C43FB" w:rsidRDefault="00AA30E1" w:rsidP="007412A6">
      <w:pPr>
        <w:spacing w:line="360" w:lineRule="auto"/>
        <w:jc w:val="both"/>
        <w:rPr>
          <w:lang w:val="en-US"/>
        </w:rPr>
      </w:pPr>
      <w:r w:rsidRPr="008C43FB">
        <w:rPr>
          <w:lang w:val="en-US"/>
        </w:rPr>
        <w:t xml:space="preserve">In addition, among </w:t>
      </w:r>
      <w:r w:rsidRPr="008C43FB">
        <w:rPr>
          <w:rFonts w:cstheme="minorHAnsi"/>
          <w:lang w:val="en-US"/>
        </w:rPr>
        <w:t xml:space="preserve">registrants with maternal MS, </w:t>
      </w:r>
      <w:r w:rsidRPr="008C43FB">
        <w:rPr>
          <w:lang w:val="en-US"/>
        </w:rPr>
        <w:t xml:space="preserve">we did not observe any </w:t>
      </w:r>
      <w:r w:rsidR="00654BC7" w:rsidRPr="008C43FB">
        <w:rPr>
          <w:lang w:val="en-US"/>
        </w:rPr>
        <w:t xml:space="preserve">statistically </w:t>
      </w:r>
      <w:r w:rsidRPr="008C43FB">
        <w:rPr>
          <w:lang w:val="en-US"/>
        </w:rPr>
        <w:t xml:space="preserve">significant association between </w:t>
      </w:r>
      <w:r w:rsidR="00F05423" w:rsidRPr="008C43FB">
        <w:rPr>
          <w:lang w:val="en-US"/>
        </w:rPr>
        <w:t xml:space="preserve">first trimester </w:t>
      </w:r>
      <w:r w:rsidRPr="008C43FB">
        <w:rPr>
          <w:lang w:val="en-US"/>
        </w:rPr>
        <w:t xml:space="preserve">exposure to glatiramer acetate or interferon beta-1a </w:t>
      </w:r>
      <w:r w:rsidR="000A2644" w:rsidRPr="008C43FB">
        <w:rPr>
          <w:lang w:val="en-US"/>
        </w:rPr>
        <w:t>and</w:t>
      </w:r>
      <w:r w:rsidR="00BD5BFF" w:rsidRPr="008C43FB">
        <w:rPr>
          <w:lang w:val="en-US"/>
        </w:rPr>
        <w:t xml:space="preserve"> </w:t>
      </w:r>
      <w:r w:rsidR="000A2644" w:rsidRPr="008C43FB">
        <w:rPr>
          <w:lang w:val="en-US"/>
        </w:rPr>
        <w:t>CHDs</w:t>
      </w:r>
      <w:r w:rsidR="00106C38" w:rsidRPr="008C43FB">
        <w:rPr>
          <w:rFonts w:cstheme="minorHAnsi"/>
          <w:lang w:val="en-US"/>
        </w:rPr>
        <w:t>.</w:t>
      </w:r>
      <w:r w:rsidR="0031318D" w:rsidRPr="008C43FB">
        <w:rPr>
          <w:lang w:val="en-US"/>
        </w:rPr>
        <w:t xml:space="preserve"> </w:t>
      </w:r>
      <w:r w:rsidR="00680B45" w:rsidRPr="008C43FB">
        <w:rPr>
          <w:lang w:val="en-US"/>
        </w:rPr>
        <w:t xml:space="preserve">This result aligns with the existing body of evidence, which has largely demonstrated a reassuring safety profile for glatiramer acetate and interferon beta-1a during pregnancy </w:t>
      </w:r>
      <w:r w:rsidR="00680B45" w:rsidRPr="008C43FB">
        <w:rPr>
          <w:lang w:val="en-US"/>
        </w:rPr>
        <w:fldChar w:fldCharType="begin"/>
      </w:r>
      <w:r w:rsidR="00890BE5" w:rsidRPr="008C43FB">
        <w:rPr>
          <w:lang w:val="en-US"/>
        </w:rPr>
        <w:instrText xml:space="preserve"> ADDIN ZOTERO_ITEM CSL_CITATION {"citationID":"ROoL4qxH","properties":{"formattedCitation":"[19\\uc0\\u8211{}24,37,38]","plainCitation":"[19–24,37,38]","noteIndex":0},"citationItems":[{"id":2200,"uris":["http://zotero.org/users/4535351/items/UZHRRVRN"],"itemData":{"id":2200,"type":"article-journal","abstract":"BACKGROUND: Only few studies have assessed safety of in utero exposure to glatiramer acetate (GA). Following a previous study assessing the safety of interferon beta (IFNB) pregnancy exposure in multiple sclerosis (MS), we aimed to assess pregnancy and fetal outcomes after in utero exposure to GA, using the same dataset, with a specific focus on the risk of spontaneous abortion.\nMATERIALS AND METHODS: We recruited MS patients, prospectively followed-up in 21 Italian MS Centres, for whom a pregnancy was recorded in the period 2002-2008. Patients were divided into 2 groups: drug-exposed pregnancies (EP: suspension of the drug less than 4 weeks from conception); non-exposed pregnancies (NEP: suspension of the drug at least 4 weeks from conception or never treated pregnancies). All the patients were administered a structured interview which gathered detailed information on pregnancy course and outcomes, as well as on possible confounders. Multivariate logistic and linear models were used for treatment comparisons.\nRESULTS: Data on 423 pregnancies were collected, 17 were classified as EP to GA, 88 as EP to IFNB, 318 as NEP. Pregnancies resulted in 16 live births in the GA EP, 75 live births in the IFNB EP, 295 live births in the NEP. GA exposure was not significantly associated with an increased risk of spontaneous abortion (OR = 0.44;95% CI 0.044-4.51;p = 0.49). Mean birth weight and length were not significantly different in pregnancies exposed to GA than in non exposed pregnancies (p = 0.751). The frequency of preterm delivery, observed in 4 subjects exposed to GA (25% of full term deliveries), was not significantly higher in pregnancies exposed to GA than in those non exposed (p &gt; 0.735). These findings were confirmed in the multivariate analysis. There were neither major complications nor malformations after GA exposure.\nCONCLUSIONS: Data in our cohort show that mother's GA exposure is not associated with a higher frequency of spontaneous abortion, neither other negative pregnancy and fetal outcomes. Our findings point to the safety of in utero GA exposure and can support neurologists in the therapeutic counselling of MS women planning a pregnancy.","container-title":"BMC neurology","DOI":"10.1186/1471-2377-12-124","ISSN":"1471-2377","journalAbbreviation":"BMC Neurol","language":"eng","page":"124","PMID":"23088447","PMCID":"PMC3487812","source":"PubMed","title":"Pregnancy and fetal outcomes after Glatiramer Acetate exposure in patients with multiple sclerosis: a prospective observational multicentric study","title-short":"Pregnancy and fetal outcomes after Glatiramer Acetate exposure in patients with multiple sclerosis","volume":"12","author":[{"family":"Giannini","given":"Marta"},{"family":"Portaccio","given":"Emilio"},{"family":"Ghezzi","given":"Angelo"},{"family":"Hakiki","given":"Bahia"},{"family":"Pastò","given":"Luisa"},{"family":"Razzolini","given":"Lorenzo"},{"family":"Piscolla","given":"Elisa"},{"family":"De Giglio","given":"Laura"},{"family":"Pozzilli","given":"Carlo"},{"family":"Paolicelli","given":"Damiano"},{"family":"Trojano","given":"Maria"},{"family":"Marrosu","given":"Maria Giovanna"},{"family":"Patti","given":"Francesco"},{"family":"La Mantia","given":"Loredana"},{"family":"Mancardi","given":"Gianluigi"},{"family":"Solaro","given":"Claudio"},{"family":"Totaro","given":"Rocco"},{"family":"Tola","given":"Maria Rosaria"},{"family":"De Luca","given":"Giovanna"},{"family":"Lugaresi","given":"Alessandra"},{"family":"Moiola","given":"Lucia"},{"family":"Martinelli","given":"Vittorio"},{"family":"Comi","given":"Giancarlo"},{"family":"Amato","given":"Maria Pia"}],"issued":{"date-parts":[["2012",10,22]]}}},{"id":2164,"uris":["http://zotero.org/users/4535351/items/NWB49L3A"],"itemData":{"id":2164,"type":"article-journal","abstract":"BACKGROUND: Appropriate counseling and treatment for women with multiple sclerosis (MS) who may become pregnant requires an understanding of the effects of exposure to disease-modifying therapies (DMTs) during pregnancy. Current reports and studies are limited in their usefulness, mostly by small sample size. Branded glatiramer acetate (GA) is a DMT approved for the treatment of relapsing forms of MS. For more than 2 decades, it has been shown to be efficacious and to have a favorable safety profile. The Teva Pharmaceutical Industries Ltd global pharmacovigilance database comprises data from more than 7000 pregnancies, during which women with MS were exposed to treatment with branded GA.\nMETHODS: We analyzed data from Teva's global pharmacovigilance database. Pregnancy outcomes for patients treated with branded GA were compared with reference rates of abnormal pregnancy outcomes reported in two large registries representing the general population.\nRESULTS: Pregnancies exposed to branded GA were not at higher risk for congenital anomalies than what is expected in the general population.\nCONCLUSIONS: These data provide evidence that branded GA exposure during pregnancy seems safe, without teratogenic effect.","container-title":"International journal of MS care","DOI":"10.7224/1537-2073.2016-079","ISSN":"1537-2073","issue":"1","journalAbbreviation":"Int J MS Care","language":"eng","page":"9-14","PMID":"29507538","PMCID":"PMC5825987","source":"PubMed","title":"Pregnancy Outcomes from the Branded Glatiramer Acetate Pregnancy Database","volume":"20","author":[{"family":"Sandberg-Wollheim","given":"Magnhild"},{"family":"Neudorfer","given":"Orit"},{"family":"Grinspan","given":"Augusto"},{"family":"Weinstock-Guttman","given":"Bianca"},{"family":"Haas","given":"Judith"},{"family":"Izquierdo","given":"Guillermo"},{"family":"Riley","given":"Claire"},{"family":"Ross","given":"Amy Perrin"},{"family":"Baruch","given":"Peleg"},{"family":"Drillman","given":"Talya"},{"family":"Coyle","given":"Patricia K."}],"issued":{"date-parts":[["2018"]]}}},{"id":2122,"uris":["http://zotero.org/users/4535351/items/WPKE2CVH"],"itemData":{"id":2122,"type":"article-journal","abstract":"BACKGROUND: Our aim was to estimate and compare the prevalence of adverse pregnancy outcomes among pregnant women with multiple sclerosis (MS) exposed to interferon beta (IFNB) and among women with MS unexposed to any MS disease-modifying drug (MSDMD).\nMETHODS: This cohort study used Finnish (1996-2014) and Swedish (2005-2014) national register data. Women with MS having IFNB dispensed 6 months before or during pregnancy as the only medication were considered as IFNB exposed (only IFNB-exposed), whereas women with MS unexposed to any MSDMD were considered unexposed (MSDMD-unexposed). Prevalence was described and compared using log-binomial or logistic regression and adjusted for potential confounders including maternal age and comorbidity.\nRESULTS: Among 2831 pregnancies, 2.2% of the only IFNB-exposed and 4.0% of the MSDMD-unexposed women had serious adverse pregnancy outcomes [elective termination of pregnancy due to foetal anomaly (TOPFA), major congenital anomaly (MCA) in live, or stillbirth]. After adjustments, the prevalence of serious adverse pregnancy outcomes was lower among the only IFNB-exposed compared with the MSDMD-unexposed [relative risk 0.55, 95% confidence interval (CI) 0.31-0.96]. The prevalence of individual outcomes, including MCA, spontaneous abortions, and stillbirths was not increased with IFNB exposure. Women with MS exposed to IFNB appeared more likely to terminate their pregnancy for reasons other than foetal anomaly, compared with MSDMD-unexposed pregnant MS patients (odds ratio 1.71, 95% CI 1.06-2.78).\nCONCLUSION: In this large cohort study, no increase in the prevalence of adverse pregnancy outcomes was observed in women with MS exposed to IFNB compared with MS patients unexposed to any MSDMDs. This study together with other evidence led to a change in the labels of the IFNB products in September 2019 in the European Union, and IFNB use today may be considered during pregnancy, if clinically needed.","container-title":"Therapeutic Advances in Neurological Disorders","DOI":"10.1177/1756286420951072","ISSN":"1756-2856","journalAbbreviation":"Ther Adv Neurol Disord","language":"eng","page":"1756286420951072","PMID":"33101459","PMCID":"PMC7549181","source":"PubMed","title":"Pregnancy outcomes after exposure to interferon beta: a register-based cohort study among women with MS in Finland and Sweden","title-short":"Pregnancy outcomes after exposure to interferon beta","volume":"13","author":[{"family":"Hakkarainen","given":"Katja Marja"},{"family":"Juuti","given":"Rosa"},{"family":"Burkill","given":"Sarah"},{"family":"Geissbühler","given":"Yvonne"},{"family":"Sabidó","given":"Meritxell"},{"family":"Popescu","given":"Catrinel"},{"family":"Suzart-Woischnik","given":"Kiliana"},{"family":"Hillert","given":"Jan"},{"family":"Artama","given":"Miia"},{"family":"Verkkoniemi-Ahola","given":"Auli"},{"family":"Myhr","given":"Kjell-Morten"},{"family":"Mehtälä","given":"Juha"},{"family":"Bahmanyar","given":"Shahram"},{"family":"Montgomery","given":"Scott"},{"family":"Korhonen","given":"Pasi"}],"issued":{"date-parts":[["2020"]]}}},{"id":2228,"uris":["http://zotero.org/users/4535351/items/9GHC3CXW"],"itemData":{"id":2228,"type":"article-journal","abstract":"OBJECTIVE: The objective of this study was to evaluate exposure to disease-modifying therapies (DMTs) during pregnancy in 335 pregnancies of multiple sclerosis (MS) patients and to further determine whether exclusive breastfeeding of MS mothers has any relevant influence on postpartum relapse rate.\nBACKGROUND: Only limited data are available on whether DMT exposure during pregnancy affects relapse rate during pregnancy or after birth. Currently, findings on beneficial effect of exclusive breastfeeding on MS disease course are controversially discussed.\nMETHODS: We enrolled pregnant women with MS who contacted us directly or via their treating physicians to be included in our nationwide MS and pregnancy database.\nRESULTS: We identified 78 pregnancies under interferon-beta (IFNβ) preparations, 41 under glatiramer acetate (GLAT), and 216 pregnancies without DMT exposure during pregnancy. As expected, annualized relapse rate (ARR) decreased continuously during pregnancy in nonexposed mothers (p &lt; 0.001) to then increase after birth. In IFNβ- or GLAT-exposed women this typical pattern was not as obvious. Congenital anomalies were within normal ranges in exposed pregnancies. In total, 170 women were identified who exclusively breastfed (EBF). Significantly reduced postpartum relapse rate during the first 3 months after birth were registered in the EBF group as compared with nonexclusively breastfeeding (NEBF) or nonbreastfeeding women (NBF) women with MS (p &lt; 0.0001). Relapse rate (RR) in the year before pregnancy had been similar throughout all groups. We did not observe any significant differences in RR of NEBF and NBF women.\nCONCLUSION: Exclusive breastfeeding showed some beneficial effects on postpartum relapse rate in our cohort. Our data support that IFNβ and GLAT do not seem to represent a major teratogenic risk in pregnancy.","container-title":"Therapeutic Advances in Neurological Disorders","DOI":"10.1177/1756285612453192","ISSN":"1756-2864","issue":"5","journalAbbreviation":"Ther Adv Neurol Disord","language":"eng","page":"247-253","PMID":"22973421","PMCID":"PMC3437527","source":"PubMed","title":"Multiple sclerosis and pregnancy: experience from a nationwide database in Germany","title-short":"Multiple sclerosis and pregnancy","volume":"5","author":[{"family":"Hellwig","given":"Kerstin"},{"family":"Haghikia","given":"Aiden"},{"family":"Rockhoff","given":"Milena"},{"family":"Gold","given":"Ralf"}],"issued":{"date-parts":[["2012",9]]}}},{"id":2195,"uris":["http://zotero.org/users/4535351/items/AF9STJQI"],"itemData":{"id":2195,"type":"article-journal","abstract":"BACKGROUND: Women with multiple sclerosis (MS) are advised to discontinue interferon-beta therapy before trying to conceive. Unplanned pregnancies occur and risks related to exposure remain unclear.\nMETHODS: To determine pregnancy outcomes following interferon-beta therapy, we examined pregnancies from a global drug safety database containing individual case safety reports received in the post-marketing setting and safety data from clinical trials of subcutaneous interferon beta-1a in MS.\nRESULTS: One thousand and twenty-two cases of exposure to subcutaneous interferon beta-1a during pregnancy were retrieved; 679 had a documented outcome. In cases for which exposure duration was available (n  = 231), mean time of foetal exposure to subcutaneous interferon beta-1a before treatment discontinuation was 28 days; most pregnancies (199/231; 86.1%) were exposed for ≤ 45 days. To avoid bias, only outcomes for prospective data (n  = 425) in pregnancies exposed to interferon beta-1a in utero were analysed further. Of these, 324 (76.2%) resulted in normal live births and four (0.9%) in live births with congenital anomalies (3 [0.7%] were 'major'). Four (0.9%) pregnancies resulted in stillbirths (1 [0.2%] with foetal defects). There were 5 (1.2%) ectopic pregnancies, 49 (11.5%) spontaneous abortions and 39 (9.2%) elective terminations. Most pregnancies exposed to subcutaneous interferon beta-1a in utero were associated with normal live births. The rates of spontaneous abortion and major congenital anomalies in live births were in line with those observed in the general population.\nCONCLUSIONS: These data should be taken into account when considering options for women with MS who become pregnant or who are planning pregnancy while on treatment with subcutaneous interferon beta-1a.","container-title":"Multiple Sclerosis (Houndmills, Basingstoke, England)","DOI":"10.1177/1352458510394610","ISSN":"1477-0970","issue":"4","journalAbbreviation":"Mult Scler","language":"eng","page":"423-430","PMID":"21220368","source":"PubMed","title":"Pregnancy outcomes in multiple sclerosis following subcutaneous interferon beta-1a therapy","volume":"17","author":[{"family":"Sandberg-Wollheim","given":"Magnhild"},{"family":"Alteri","given":"Enrica"},{"family":"Moraga","given":"Margaretha Stam"},{"family":"Kornmann","given":"Gabrielle"}],"issued":{"date-parts":[["2011",4]]}}},{"id":2616,"uris":["http://zotero.org/users/4535351/items/2VANX9ZD"],"itemData":{"id":2616,"type":"article-journal","abstract":"BackgroundThere is still uncertainty about the management of pregnant women exposed to immunomodulatory therapy for treatment of multiple sclerosis (MS) in pregnancy.ObjectiveTo assess the safety of interferon (IFN)-β1a, IFN-β1b, and glatiramer acetate (GA) for treatment of MS during pregnancy.MethodsA prospective observational cohort study was performed with patients enrolled through a drug risk assessment by the Teratology Information Service (TIS), Berlin, from 1996 to 2007. Pregnancy outcomes for four groups of women were compared: two exposed groups (IFN, n = 69; GA, n = 31), MS patients without exposure to IFN or GA (n = 64) and a healthy comparative group (n = 1556).ResultsSpontaneous abortion rates were in normal range for all groups except the small subgroup of IFN-β1b exposed (n = 21), where 28% aborted spontaneously. There were two major birth defects in the GA group (club feet and atrioventricular canal) and none in the IFN cohort. Preterm delivery was not significantly different between exposed cohorts and healthy controls. The adjusted mean birth weight was in normal range in all groups (&gt;3200 g), but newborns exposed to IFN had a significantly lower birth weight.ConclusionOur findings suggest that neither GA nor IFN constitutes a major risk for prenatal developmental toxicity.","container-title":"Multiple Sclerosis Journal","DOI":"10.1177/1352458509106543","ISSN":"1352-4585","issue":"9","journalAbbreviation":"Mult Scler","language":"en","page":"1037-1042","publisher":"SAGE Publications Ltd STM","source":"SAGE Journals","title":"Multiple sclerosis, immunomodulators, and pregnancy outcome: a prospective observational study","title-short":"Multiple sclerosis, immunomodulators, and pregnancy outcome","volume":"15","author":[{"family":"Weber-Schoendorfer","given":"C"},{"family":"Schaefer","given":"C"}],"issued":{"date-parts":[["2009",9,1]]}}},{"id":2179,"uris":["http://zotero.org/users/4535351/items/UGX9CRYN"],"itemData":{"id":2179,"type":"article-journal","abstract":"BACKGROUND: Only limited data are available on whether glatiramer acetate exposure during pregnancy has an effect on perinatal outcome.\nOBJECTIVE: To determine the effect of glatiramer acetate exposure during pregnancy on pregnancy outcomes in women with multiple sclerosis.\nMETHODS: We compared the outcome of pregnancies of women with multiple sclerosis exposed to glatiramer acetate with pregnancies unexposed to disease-modifying therapies. Women were enrolled into the German Multiple Sclerosis and Pregnancy registry. A standardized questionnaire was administered during pregnancy and postpartum. Detailed information on course of multiple sclerosis and pregnancy, concomitant medications, labor, delivery, and outcome of pregnancy was obtained.\nRESULTS: We collected data on 246 multiple sclerosis pregnancies, 151 exposed to glatiramer acetate and 95 unexposed to disease-modifying therapies during pregnancy. Three (2.2%) congenital anomalies occurred in the exposed and 6 (6.7%) in the control group. We did not observe an increase in other adverse pregnancy or delivery outcomes including spontaneous abortions, preterm birth, Cesarean sections, or reduced birth weight in the exposed group.\nCONCLUSION: Our data provide further evidence that glatiramer acetate exposure during the first trimester of pregnancy appears safe and without teratogenic effect. These findings provide important additive knowledge to better counsel women with multiple sclerosis in planning a pregnancy.","container-title":"Multiple Sclerosis (Houndmills, Basingstoke, England)","DOI":"10.1177/1352458515623366","ISSN":"1477-0970","issue":"6","journalAbbreviation":"Mult Scler","language":"eng","page":"810-816","PMID":"26754804","source":"PubMed","title":"Glatiramer acetate during early pregnancy: A prospective cohort study","title-short":"Glatiramer acetate during early pregnancy","volume":"22","author":[{"family":"Herbstritt","given":"Sandra"},{"family":"Langer-Gould","given":"Annette"},{"family":"Rockhoff","given":"Milena"},{"family":"Haghikia","given":"Aiden"},{"family":"Queisser-Wahrendorf","given":"Annette"},{"family":"Gold","given":"Ralf"},{"family":"Hellwig","given":"Kerstin"}],"issued":{"date-parts":[["2016",5]]}}},{"id":2111,"uris":["http://zotero.org/users/4535351/items/7DTT98R7"],"itemData":{"id":2111,"type":"article-journal","abstract":"INTRODUCTION: Published data support the safety of glatiramer acetate in patients with multiple sclerosis who are pregnant or breastfeeding, but long-term data are limited.\nOBJECTIVE: We aimed to assess pregnancy, fetal, and infant outcomes following maternal exposure to glatiramer acetate.\nMETHODS: In-utero glatiramer acetate-exposed postmarketing pregnancy reports from 2019 to 2021 were extracted from Teva's pharmacovigilance database. Pregnancy data acquired prior to knowledge of pregnancy outcome or detection of congenital malformation (prospective reports) were used to estimate pregnancy and infant outcome rates for glatiramer acetate 20- and 40-mg/mL exposure. A subgroup of cases completed follow-up questionnaires and were analyzed separately.\nRESULTS: Prospective cases with 702 fetuses had known outcomes with 647 (92.2%) live births, 47 (6.7%) spontaneous abortions, 4 (0.6%) induced abortions, 2 (0.3%) ectopic pregnancies, and 2 (0.3%) fetal deaths. Rates of major congenital malformation (1.1%), preterm births (7.2%), and low/very low birth weight (4.8%), and parameters of growth were within background rates. No infant developmental delay was reported. Overall, pregnancy and infant outcomes were similar across glatiramer acetate doses.\nCONCLUSIONS: Maternal exposure to glatiramer acetate does not appear to be related to adverse pregnancy, fetal, or infant outcomes. These data further support the safety of both glatiramer acetate 20-mg/mL and 40-mg/mL treatments during pregnancy and breastfeeding.","container-title":"Drug Safety","DOI":"10.1007/s40264-022-01168-1","ISSN":"1179-1942","issue":"4","journalAbbreviation":"Drug Saf","language":"eng","page":"345-357","PMID":"35297004","source":"PubMed","title":"Pregnancy, Fetal, and Infant Outcomes Following Maternal Exposure to Glatiramer Acetate During Pregnancy and Breastfeeding","volume":"45","author":[{"family":"Kaplan","given":"Sigal"},{"family":"Zeygarnik","given":"Mikhail"},{"family":"Stern","given":"Tal"}],"issued":{"date-parts":[["2022",4]]}}}],"schema":"https://github.com/citation-style-language/schema/raw/master/csl-citation.json"} </w:instrText>
      </w:r>
      <w:r w:rsidR="00680B45" w:rsidRPr="008C43FB">
        <w:rPr>
          <w:lang w:val="en-US"/>
        </w:rPr>
        <w:fldChar w:fldCharType="separate"/>
      </w:r>
      <w:r w:rsidR="00680B45" w:rsidRPr="008C43FB">
        <w:rPr>
          <w:rFonts w:ascii="Calibri" w:hAnsi="Calibri" w:cs="Calibri"/>
          <w:szCs w:val="24"/>
          <w:lang w:val="en-US"/>
        </w:rPr>
        <w:t>[19–24,37,38]</w:t>
      </w:r>
      <w:r w:rsidR="00680B45" w:rsidRPr="008C43FB">
        <w:rPr>
          <w:lang w:val="en-US"/>
        </w:rPr>
        <w:fldChar w:fldCharType="end"/>
      </w:r>
      <w:r w:rsidR="00680B45" w:rsidRPr="008C43FB">
        <w:rPr>
          <w:lang w:val="en-US"/>
        </w:rPr>
        <w:t xml:space="preserve">. Nevertheless, </w:t>
      </w:r>
      <w:r w:rsidR="00F51350" w:rsidRPr="008C43FB">
        <w:rPr>
          <w:lang w:val="en-US"/>
        </w:rPr>
        <w:t xml:space="preserve">these results should be interpreted with caution due to </w:t>
      </w:r>
      <w:r w:rsidR="00680B45" w:rsidRPr="008C43FB">
        <w:rPr>
          <w:lang w:val="en-US"/>
        </w:rPr>
        <w:t>the small sample size and low statistical power in our study</w:t>
      </w:r>
      <w:r w:rsidR="00EE1F19" w:rsidRPr="008C43FB">
        <w:rPr>
          <w:lang w:val="en-US"/>
        </w:rPr>
        <w:t>.</w:t>
      </w:r>
      <w:r w:rsidR="00680B45" w:rsidRPr="008C43FB">
        <w:rPr>
          <w:lang w:val="en-US"/>
        </w:rPr>
        <w:t xml:space="preserve"> </w:t>
      </w:r>
      <w:r w:rsidR="0054174D" w:rsidRPr="008C43FB">
        <w:rPr>
          <w:lang w:val="en-US"/>
        </w:rPr>
        <w:t>I</w:t>
      </w:r>
      <w:r w:rsidR="007412A6" w:rsidRPr="008C43FB">
        <w:rPr>
          <w:lang w:val="en-US"/>
        </w:rPr>
        <w:t>t</w:t>
      </w:r>
      <w:r w:rsidR="000A2644" w:rsidRPr="008C43FB">
        <w:rPr>
          <w:lang w:val="en-US"/>
        </w:rPr>
        <w:t xml:space="preserve"> should</w:t>
      </w:r>
      <w:r w:rsidR="0054174D" w:rsidRPr="008C43FB">
        <w:rPr>
          <w:lang w:val="en-US"/>
        </w:rPr>
        <w:t xml:space="preserve"> also</w:t>
      </w:r>
      <w:r w:rsidR="000A2644" w:rsidRPr="008C43FB">
        <w:rPr>
          <w:lang w:val="en-US"/>
        </w:rPr>
        <w:t xml:space="preserve"> be noted that published data on this topic are scarce, and most available studies have focused on overall </w:t>
      </w:r>
      <w:r w:rsidR="00510687">
        <w:rPr>
          <w:lang w:val="en-US"/>
        </w:rPr>
        <w:t>CA</w:t>
      </w:r>
      <w:r w:rsidR="000A2644" w:rsidRPr="008C43FB">
        <w:rPr>
          <w:lang w:val="en-US"/>
        </w:rPr>
        <w:t xml:space="preserve"> rather than specific subgroups such as severe CHDs or VSDs</w:t>
      </w:r>
      <w:r w:rsidR="00DE3286" w:rsidRPr="008C43FB">
        <w:rPr>
          <w:lang w:val="en-US"/>
        </w:rPr>
        <w:t xml:space="preserve"> </w:t>
      </w:r>
      <w:r w:rsidR="00DE3286" w:rsidRPr="008C43FB">
        <w:rPr>
          <w:lang w:val="en-US"/>
        </w:rPr>
        <w:fldChar w:fldCharType="begin"/>
      </w:r>
      <w:r w:rsidR="00890BE5" w:rsidRPr="008C43FB">
        <w:rPr>
          <w:lang w:val="en-US"/>
        </w:rPr>
        <w:instrText xml:space="preserve"> ADDIN ZOTERO_ITEM CSL_CITATION {"citationID":"Tc85ZXUd","properties":{"formattedCitation":"[19,22,24]","plainCitation":"[19,22,24]","noteIndex":0},"citationItems":[{"id":2200,"uris":["http://zotero.org/users/4535351/items/UZHRRVRN"],"itemData":{"id":2200,"type":"article-journal","abstract":"BACKGROUND: Only few studies have assessed safety of in utero exposure to glatiramer acetate (GA). Following a previous study assessing the safety of interferon beta (IFNB) pregnancy exposure in multiple sclerosis (MS), we aimed to assess pregnancy and fetal outcomes after in utero exposure to GA, using the same dataset, with a specific focus on the risk of spontaneous abortion.\nMATERIALS AND METHODS: We recruited MS patients, prospectively followed-up in 21 Italian MS Centres, for whom a pregnancy was recorded in the period 2002-2008. Patients were divided into 2 groups: drug-exposed pregnancies (EP: suspension of the drug less than 4 weeks from conception); non-exposed pregnancies (NEP: suspension of the drug at least 4 weeks from conception or never treated pregnancies). All the patients were administered a structured interview which gathered detailed information on pregnancy course and outcomes, as well as on possible confounders. Multivariate logistic and linear models were used for treatment comparisons.\nRESULTS: Data on 423 pregnancies were collected, 17 were classified as EP to GA, 88 as EP to IFNB, 318 as NEP. Pregnancies resulted in 16 live births in the GA EP, 75 live births in the IFNB EP, 295 live births in the NEP. GA exposure was not significantly associated with an increased risk of spontaneous abortion (OR = 0.44;95% CI 0.044-4.51;p = 0.49). Mean birth weight and length were not significantly different in pregnancies exposed to GA than in non exposed pregnancies (p = 0.751). The frequency of preterm delivery, observed in 4 subjects exposed to GA (25% of full term deliveries), was not significantly higher in pregnancies exposed to GA than in those non exposed (p &gt; 0.735). These findings were confirmed in the multivariate analysis. There were neither major complications nor malformations after GA exposure.\nCONCLUSIONS: Data in our cohort show that mother's GA exposure is not associated with a higher frequency of spontaneous abortion, neither other negative pregnancy and fetal outcomes. Our findings point to the safety of in utero GA exposure and can support neurologists in the therapeutic counselling of MS women planning a pregnancy.","container-title":"BMC neurology","DOI":"10.1186/1471-2377-12-124","ISSN":"1471-2377","journalAbbreviation":"BMC Neurol","language":"eng","page":"124","PMID":"23088447","PMCID":"PMC3487812","source":"PubMed","title":"Pregnancy and fetal outcomes after Glatiramer Acetate exposure in patients with multiple sclerosis: a prospective observational multicentric study","title-short":"Pregnancy and fetal outcomes after Glatiramer Acetate exposure in patients with multiple sclerosis","volume":"12","author":[{"family":"Giannini","given":"Marta"},{"family":"Portaccio","given":"Emilio"},{"family":"Ghezzi","given":"Angelo"},{"family":"Hakiki","given":"Bahia"},{"family":"Pastò","given":"Luisa"},{"family":"Razzolini","given":"Lorenzo"},{"family":"Piscolla","given":"Elisa"},{"family":"De Giglio","given":"Laura"},{"family":"Pozzilli","given":"Carlo"},{"family":"Paolicelli","given":"Damiano"},{"family":"Trojano","given":"Maria"},{"family":"Marrosu","given":"Maria Giovanna"},{"family":"Patti","given":"Francesco"},{"family":"La Mantia","given":"Loredana"},{"family":"Mancardi","given":"Gianluigi"},{"family":"Solaro","given":"Claudio"},{"family":"Totaro","given":"Rocco"},{"family":"Tola","given":"Maria Rosaria"},{"family":"De Luca","given":"Giovanna"},{"family":"Lugaresi","given":"Alessandra"},{"family":"Moiola","given":"Lucia"},{"family":"Martinelli","given":"Vittorio"},{"family":"Comi","given":"Giancarlo"},{"family":"Amato","given":"Maria Pia"}],"issued":{"date-parts":[["2012",10,22]]}}},{"id":2228,"uris":["http://zotero.org/users/4535351/items/9GHC3CXW"],"itemData":{"id":2228,"type":"article-journal","abstract":"OBJECTIVE: The objective of this study was to evaluate exposure to disease-modifying therapies (DMTs) during pregnancy in 335 pregnancies of multiple sclerosis (MS) patients and to further determine whether exclusive breastfeeding of MS mothers has any relevant influence on postpartum relapse rate.\nBACKGROUND: Only limited data are available on whether DMT exposure during pregnancy affects relapse rate during pregnancy or after birth. Currently, findings on beneficial effect of exclusive breastfeeding on MS disease course are controversially discussed.\nMETHODS: We enrolled pregnant women with MS who contacted us directly or via their treating physicians to be included in our nationwide MS and pregnancy database.\nRESULTS: We identified 78 pregnancies under interferon-beta (IFNβ) preparations, 41 under glatiramer acetate (GLAT), and 216 pregnancies without DMT exposure during pregnancy. As expected, annualized relapse rate (ARR) decreased continuously during pregnancy in nonexposed mothers (p &lt; 0.001) to then increase after birth. In IFNβ- or GLAT-exposed women this typical pattern was not as obvious. Congenital anomalies were within normal ranges in exposed pregnancies. In total, 170 women were identified who exclusively breastfed (EBF). Significantly reduced postpartum relapse rate during the first 3 months after birth were registered in the EBF group as compared with nonexclusively breastfeeding (NEBF) or nonbreastfeeding women (NBF) women with MS (p &lt; 0.0001). Relapse rate (RR) in the year before pregnancy had been similar throughout all groups. We did not observe any significant differences in RR of NEBF and NBF women.\nCONCLUSION: Exclusive breastfeeding showed some beneficial effects on postpartum relapse rate in our cohort. Our data support that IFNβ and GLAT do not seem to represent a major teratogenic risk in pregnancy.","container-title":"Therapeutic Advances in Neurological Disorders","DOI":"10.1177/1756285612453192","ISSN":"1756-2864","issue":"5","journalAbbreviation":"Ther Adv Neurol Disord","language":"eng","page":"247-253","PMID":"22973421","PMCID":"PMC3437527","source":"PubMed","title":"Multiple sclerosis and pregnancy: experience from a nationwide database in Germany","title-short":"Multiple sclerosis and pregnancy","volume":"5","author":[{"family":"Hellwig","given":"Kerstin"},{"family":"Haghikia","given":"Aiden"},{"family":"Rockhoff","given":"Milena"},{"family":"Gold","given":"Ralf"}],"issued":{"date-parts":[["2012",9]]}}},{"id":2616,"uris":["http://zotero.org/users/4535351/items/2VANX9ZD"],"itemData":{"id":2616,"type":"article-journal","abstract":"BackgroundThere is still uncertainty about the management of pregnant women exposed to immunomodulatory therapy for treatment of multiple sclerosis (MS) in pregnancy.ObjectiveTo assess the safety of interferon (IFN)-β1a, IFN-β1b, and glatiramer acetate (GA) for treatment of MS during pregnancy.MethodsA prospective observational cohort study was performed with patients enrolled through a drug risk assessment by the Teratology Information Service (TIS), Berlin, from 1996 to 2007. Pregnancy outcomes for four groups of women were compared: two exposed groups (IFN, n = 69; GA, n = 31), MS patients without exposure to IFN or GA (n = 64) and a healthy comparative group (n = 1556).ResultsSpontaneous abortion rates were in normal range for all groups except the small subgroup of IFN-β1b exposed (n = 21), where 28% aborted spontaneously. There were two major birth defects in the GA group (club feet and atrioventricular canal) and none in the IFN cohort. Preterm delivery was not significantly different between exposed cohorts and healthy controls. The adjusted mean birth weight was in normal range in all groups (&gt;3200 g), but newborns exposed to IFN had a significantly lower birth weight.ConclusionOur findings suggest that neither GA nor IFN constitutes a major risk for prenatal developmental toxicity.","container-title":"Multiple Sclerosis Journal","DOI":"10.1177/1352458509106543","ISSN":"1352-4585","issue":"9","journalAbbreviation":"Mult Scler","language":"en","page":"1037-1042","publisher":"SAGE Publications Ltd STM","source":"SAGE Journals","title":"Multiple sclerosis, immunomodulators, and pregnancy outcome: a prospective observational study","title-short":"Multiple sclerosis, immunomodulators, and pregnancy outcome","volume":"15","author":[{"family":"Weber-Schoendorfer","given":"C"},{"family":"Schaefer","given":"C"}],"issued":{"date-parts":[["2009",9,1]]}}}],"schema":"https://github.com/citation-style-language/schema/raw/master/csl-citation.json"} </w:instrText>
      </w:r>
      <w:r w:rsidR="00DE3286" w:rsidRPr="008C43FB">
        <w:rPr>
          <w:lang w:val="en-US"/>
        </w:rPr>
        <w:fldChar w:fldCharType="separate"/>
      </w:r>
      <w:r w:rsidR="003A626F" w:rsidRPr="008C43FB">
        <w:rPr>
          <w:rFonts w:ascii="Calibri" w:hAnsi="Calibri" w:cs="Calibri"/>
          <w:lang w:val="en-US"/>
        </w:rPr>
        <w:t>[19,22,24]</w:t>
      </w:r>
      <w:r w:rsidR="00DE3286" w:rsidRPr="008C43FB">
        <w:rPr>
          <w:lang w:val="en-US"/>
        </w:rPr>
        <w:fldChar w:fldCharType="end"/>
      </w:r>
      <w:r w:rsidR="007412A6" w:rsidRPr="008C43FB">
        <w:rPr>
          <w:lang w:val="en-US"/>
        </w:rPr>
        <w:t>.</w:t>
      </w:r>
    </w:p>
    <w:p w14:paraId="57C80876" w14:textId="72899799" w:rsidR="001F43B8" w:rsidRPr="008C43FB" w:rsidRDefault="000A2644" w:rsidP="001F43B8">
      <w:pPr>
        <w:spacing w:line="360" w:lineRule="auto"/>
        <w:jc w:val="both"/>
        <w:rPr>
          <w:lang w:val="en-US"/>
        </w:rPr>
      </w:pPr>
      <w:r w:rsidRPr="008C43FB">
        <w:rPr>
          <w:lang w:val="en-US"/>
        </w:rPr>
        <w:t xml:space="preserve">The main strength of our study is the use of a large, international, population-based database from </w:t>
      </w:r>
      <w:proofErr w:type="spellStart"/>
      <w:r w:rsidRPr="008C43FB">
        <w:rPr>
          <w:lang w:val="en-US"/>
        </w:rPr>
        <w:t>EUROmediCAT</w:t>
      </w:r>
      <w:proofErr w:type="spellEnd"/>
      <w:r w:rsidRPr="008C43FB">
        <w:rPr>
          <w:lang w:val="en-US"/>
        </w:rPr>
        <w:t xml:space="preserve">, which includes comprehensive data on </w:t>
      </w:r>
      <w:r w:rsidR="00A23AFC" w:rsidRPr="008C43FB">
        <w:rPr>
          <w:lang w:val="en-US"/>
        </w:rPr>
        <w:t xml:space="preserve">CA </w:t>
      </w:r>
      <w:r w:rsidRPr="008C43FB">
        <w:rPr>
          <w:lang w:val="en-US"/>
        </w:rPr>
        <w:t xml:space="preserve">among </w:t>
      </w:r>
      <w:r w:rsidR="00A84663" w:rsidRPr="008C43FB">
        <w:rPr>
          <w:lang w:val="en-US"/>
        </w:rPr>
        <w:t>LB</w:t>
      </w:r>
      <w:r w:rsidRPr="008C43FB">
        <w:rPr>
          <w:lang w:val="en-US"/>
        </w:rPr>
        <w:t xml:space="preserve">, </w:t>
      </w:r>
      <w:r w:rsidR="00A84663" w:rsidRPr="008C43FB">
        <w:rPr>
          <w:lang w:val="en-US"/>
        </w:rPr>
        <w:t>FD</w:t>
      </w:r>
      <w:r w:rsidR="00B52E16" w:rsidRPr="008C43FB">
        <w:rPr>
          <w:lang w:val="en-US"/>
        </w:rPr>
        <w:t xml:space="preserve"> from 20 weeks of gestation</w:t>
      </w:r>
      <w:r w:rsidRPr="008C43FB">
        <w:rPr>
          <w:lang w:val="en-US"/>
        </w:rPr>
        <w:t>, and</w:t>
      </w:r>
      <w:r w:rsidR="00F51350" w:rsidRPr="008C43FB">
        <w:rPr>
          <w:lang w:val="en-US"/>
        </w:rPr>
        <w:t xml:space="preserve"> </w:t>
      </w:r>
      <w:r w:rsidR="00E36973" w:rsidRPr="008C43FB">
        <w:rPr>
          <w:lang w:val="en-US"/>
        </w:rPr>
        <w:t>TOPFAs</w:t>
      </w:r>
      <w:r w:rsidRPr="008C43FB">
        <w:rPr>
          <w:lang w:val="en-US"/>
        </w:rPr>
        <w:t xml:space="preserve">. </w:t>
      </w:r>
      <w:r w:rsidR="00C67432" w:rsidRPr="008C43FB">
        <w:rPr>
          <w:lang w:val="en-US"/>
        </w:rPr>
        <w:t>Multiple sources of ascertainment are used to identify CA</w:t>
      </w:r>
      <w:r w:rsidR="003802CD" w:rsidRPr="008C43FB">
        <w:rPr>
          <w:lang w:val="en-US"/>
        </w:rPr>
        <w:t xml:space="preserve">, ensuring precise descriptions and accurate classification into specific subgroups. </w:t>
      </w:r>
      <w:r w:rsidRPr="008C43FB">
        <w:rPr>
          <w:lang w:val="en-US"/>
        </w:rPr>
        <w:t xml:space="preserve">The standardized and harmonized coding of </w:t>
      </w:r>
      <w:r w:rsidR="00A23AFC" w:rsidRPr="008C43FB">
        <w:rPr>
          <w:lang w:val="en-US"/>
        </w:rPr>
        <w:t>CA</w:t>
      </w:r>
      <w:r w:rsidRPr="008C43FB">
        <w:rPr>
          <w:lang w:val="en-US"/>
        </w:rPr>
        <w:t xml:space="preserve"> and maternal medication exposure enhances the quality and comparability of the data across multiple European registries. Another notable </w:t>
      </w:r>
      <w:r w:rsidR="002E3762" w:rsidRPr="008C43FB">
        <w:rPr>
          <w:lang w:val="en-US"/>
        </w:rPr>
        <w:t xml:space="preserve">strength </w:t>
      </w:r>
      <w:r w:rsidRPr="008C43FB">
        <w:rPr>
          <w:lang w:val="en-US"/>
        </w:rPr>
        <w:t xml:space="preserve">is </w:t>
      </w:r>
      <w:r w:rsidR="007C759C" w:rsidRPr="008C43FB">
        <w:rPr>
          <w:lang w:val="en-US"/>
        </w:rPr>
        <w:t xml:space="preserve">use of prescription records to capture medication exposure </w:t>
      </w:r>
      <w:r w:rsidRPr="008C43FB">
        <w:rPr>
          <w:lang w:val="en-US"/>
        </w:rPr>
        <w:t xml:space="preserve">in certain registries, such as those in </w:t>
      </w:r>
      <w:r w:rsidR="00470D55" w:rsidRPr="008C43FB">
        <w:rPr>
          <w:lang w:val="en-US"/>
        </w:rPr>
        <w:t xml:space="preserve">Valencian Region, </w:t>
      </w:r>
      <w:r w:rsidRPr="008C43FB">
        <w:rPr>
          <w:lang w:val="en-US"/>
        </w:rPr>
        <w:t>Tuscany and Emilia Romagna</w:t>
      </w:r>
      <w:r w:rsidR="00470D55" w:rsidRPr="008C43FB">
        <w:rPr>
          <w:lang w:val="en-US"/>
        </w:rPr>
        <w:t xml:space="preserve"> as well </w:t>
      </w:r>
      <w:r w:rsidR="00470D55" w:rsidRPr="008C43FB">
        <w:rPr>
          <w:lang w:val="en-US"/>
        </w:rPr>
        <w:lastRenderedPageBreak/>
        <w:t>as EFEMERIS</w:t>
      </w:r>
      <w:r w:rsidR="001F43B8" w:rsidRPr="008C43FB">
        <w:rPr>
          <w:lang w:val="en-US"/>
        </w:rPr>
        <w:t xml:space="preserve">, </w:t>
      </w:r>
      <w:r w:rsidR="00470D55" w:rsidRPr="008C43FB">
        <w:rPr>
          <w:lang w:val="en-US"/>
        </w:rPr>
        <w:t>enhancing the reliability of exposure assessment</w:t>
      </w:r>
      <w:r w:rsidRPr="008C43FB">
        <w:rPr>
          <w:lang w:val="en-US"/>
        </w:rPr>
        <w:t>. Moreover, the inclusion of registries from diverse geographic regions increases the generalizability of our findings to the broader European population.</w:t>
      </w:r>
    </w:p>
    <w:p w14:paraId="57C80877" w14:textId="4B1585D5" w:rsidR="002D1640" w:rsidRPr="008C43FB" w:rsidRDefault="000A2644" w:rsidP="002D1640">
      <w:pPr>
        <w:spacing w:line="360" w:lineRule="auto"/>
        <w:jc w:val="both"/>
        <w:rPr>
          <w:rFonts w:cstheme="minorHAnsi"/>
          <w:b/>
          <w:lang w:val="en-US"/>
        </w:rPr>
      </w:pPr>
      <w:r w:rsidRPr="008C43FB">
        <w:rPr>
          <w:lang w:val="en-US"/>
        </w:rPr>
        <w:t xml:space="preserve">Despite these strengths, our study has several limitations. First, </w:t>
      </w:r>
      <w:r w:rsidR="00C736CB" w:rsidRPr="008C43FB">
        <w:rPr>
          <w:lang w:val="en-US"/>
        </w:rPr>
        <w:t xml:space="preserve">maternal disease is underreported in the </w:t>
      </w:r>
      <w:proofErr w:type="spellStart"/>
      <w:r w:rsidR="00C736CB" w:rsidRPr="008C43FB">
        <w:rPr>
          <w:lang w:val="en-US"/>
        </w:rPr>
        <w:t>EUROmediCAT</w:t>
      </w:r>
      <w:proofErr w:type="spellEnd"/>
      <w:r w:rsidR="00C736CB" w:rsidRPr="008C43FB" w:rsidDel="00CE21B8">
        <w:rPr>
          <w:lang w:val="en-US"/>
        </w:rPr>
        <w:t xml:space="preserve"> </w:t>
      </w:r>
      <w:r w:rsidR="00C736CB" w:rsidRPr="008C43FB">
        <w:rPr>
          <w:lang w:val="en-US"/>
        </w:rPr>
        <w:t>database, possibly leading to underestimation of associations between maternal MS and CA</w:t>
      </w:r>
      <w:r w:rsidR="00812F6C" w:rsidRPr="008C43FB">
        <w:rPr>
          <w:lang w:val="en-US"/>
        </w:rPr>
        <w:t>. In addition,</w:t>
      </w:r>
      <w:r w:rsidR="00C736CB" w:rsidRPr="008C43FB">
        <w:rPr>
          <w:lang w:val="en-US"/>
        </w:rPr>
        <w:t xml:space="preserve"> </w:t>
      </w:r>
      <w:r w:rsidR="00812AF2" w:rsidRPr="008C43FB">
        <w:rPr>
          <w:lang w:val="en-US"/>
        </w:rPr>
        <w:t>many</w:t>
      </w:r>
      <w:r w:rsidR="00CE21B8" w:rsidRPr="008C43FB">
        <w:rPr>
          <w:lang w:val="en-US"/>
        </w:rPr>
        <w:t xml:space="preserve"> </w:t>
      </w:r>
      <w:r w:rsidR="00570473" w:rsidRPr="008C43FB">
        <w:rPr>
          <w:lang w:val="en-US"/>
        </w:rPr>
        <w:t>CA</w:t>
      </w:r>
      <w:r w:rsidRPr="008C43FB">
        <w:rPr>
          <w:lang w:val="en-US"/>
        </w:rPr>
        <w:t xml:space="preserve"> subgroups included only a small number of cases exposed to MS treatments, leading to limited statistical power and wide </w:t>
      </w:r>
      <w:r w:rsidR="00F4118A" w:rsidRPr="008C43FB">
        <w:rPr>
          <w:lang w:val="en-US"/>
        </w:rPr>
        <w:t>CIs</w:t>
      </w:r>
      <w:r w:rsidRPr="008C43FB">
        <w:rPr>
          <w:lang w:val="en-US"/>
        </w:rPr>
        <w:t xml:space="preserve"> for some associations. This limitation is particularly relevant for rare anomalies, such as gastroschisis, where results are based on very few cases and should be interpreted with caution.</w:t>
      </w:r>
      <w:r w:rsidR="00746753" w:rsidRPr="008C43FB">
        <w:rPr>
          <w:lang w:val="en-US"/>
        </w:rPr>
        <w:t xml:space="preserve"> Overall, t</w:t>
      </w:r>
      <w:r w:rsidR="00B023D3" w:rsidRPr="008C43FB">
        <w:rPr>
          <w:lang w:val="en-US"/>
        </w:rPr>
        <w:t xml:space="preserve">he low number of observed CA cases may </w:t>
      </w:r>
      <w:r w:rsidR="00B3275D" w:rsidRPr="008C43FB">
        <w:rPr>
          <w:lang w:val="en-US"/>
        </w:rPr>
        <w:t>result from</w:t>
      </w:r>
      <w:r w:rsidR="00B023D3" w:rsidRPr="008C43FB">
        <w:rPr>
          <w:lang w:val="en-US"/>
        </w:rPr>
        <w:t xml:space="preserve"> underreporting</w:t>
      </w:r>
      <w:r w:rsidR="00B3275D" w:rsidRPr="008C43FB">
        <w:rPr>
          <w:lang w:val="en-US"/>
        </w:rPr>
        <w:t xml:space="preserve">, but may also reflect a </w:t>
      </w:r>
      <w:r w:rsidR="00B023D3" w:rsidRPr="008C43FB">
        <w:rPr>
          <w:lang w:val="en-US"/>
        </w:rPr>
        <w:t xml:space="preserve">low </w:t>
      </w:r>
      <w:r w:rsidR="00393A6B" w:rsidRPr="008C43FB">
        <w:rPr>
          <w:lang w:val="en-US"/>
        </w:rPr>
        <w:t xml:space="preserve">teratogenic risk associated with </w:t>
      </w:r>
      <w:r w:rsidR="006A5A5E" w:rsidRPr="008C43FB">
        <w:rPr>
          <w:lang w:val="en-US"/>
        </w:rPr>
        <w:t>the disease and/or the</w:t>
      </w:r>
      <w:r w:rsidR="00393A6B" w:rsidRPr="008C43FB">
        <w:rPr>
          <w:lang w:val="en-US"/>
        </w:rPr>
        <w:t xml:space="preserve"> medications</w:t>
      </w:r>
      <w:r w:rsidR="0037732C" w:rsidRPr="008C43FB">
        <w:rPr>
          <w:lang w:val="en-US"/>
        </w:rPr>
        <w:t xml:space="preserve">. </w:t>
      </w:r>
      <w:r w:rsidRPr="008C43FB">
        <w:rPr>
          <w:lang w:val="en-US"/>
        </w:rPr>
        <w:t>Another limitation is the lack of detailed information on maternal disease severity, timing, dosage, and duration of medication use, which prevents a more granular analysis and limits our ability to disentangle the effects of maternal MS from those of DMTs</w:t>
      </w:r>
      <w:r w:rsidR="00CA6A7A" w:rsidRPr="008C43FB">
        <w:rPr>
          <w:lang w:val="en-US"/>
        </w:rPr>
        <w:t xml:space="preserve">. </w:t>
      </w:r>
      <w:r w:rsidR="007B2496" w:rsidRPr="008C43FB">
        <w:rPr>
          <w:lang w:val="en-US"/>
        </w:rPr>
        <w:t>Lastly</w:t>
      </w:r>
      <w:r w:rsidRPr="008C43FB">
        <w:rPr>
          <w:lang w:val="en-US"/>
        </w:rPr>
        <w:t xml:space="preserve">, residual confounding by unmeasured factors, such as unrecorded maternal comorbidities or concurrent medication use, cannot be excluded given the observational nature of the study. </w:t>
      </w:r>
    </w:p>
    <w:p w14:paraId="57C80878" w14:textId="1D1B8BE8" w:rsidR="00A9212A" w:rsidRPr="008C43FB" w:rsidRDefault="000A2644" w:rsidP="003C7311">
      <w:pPr>
        <w:spacing w:line="360" w:lineRule="auto"/>
        <w:jc w:val="both"/>
        <w:rPr>
          <w:rFonts w:cstheme="minorHAnsi"/>
          <w:lang w:val="en-US"/>
        </w:rPr>
      </w:pPr>
      <w:r w:rsidRPr="008C43FB">
        <w:rPr>
          <w:lang w:val="en-US"/>
        </w:rPr>
        <w:t>In conclusion, our study suggests potential associations between maternal MS and gastroschisis</w:t>
      </w:r>
      <w:r w:rsidR="003C60E0" w:rsidRPr="008C43FB">
        <w:rPr>
          <w:lang w:val="en-US"/>
        </w:rPr>
        <w:t xml:space="preserve">, </w:t>
      </w:r>
      <w:r w:rsidR="0010259D" w:rsidRPr="008C43FB">
        <w:rPr>
          <w:lang w:val="en-US"/>
        </w:rPr>
        <w:t>but</w:t>
      </w:r>
      <w:r w:rsidR="003C60E0" w:rsidRPr="008C43FB">
        <w:rPr>
          <w:lang w:val="en-US"/>
        </w:rPr>
        <w:t xml:space="preserve"> </w:t>
      </w:r>
      <w:r w:rsidR="0010259D" w:rsidRPr="008C43FB">
        <w:rPr>
          <w:lang w:val="en-US"/>
        </w:rPr>
        <w:t xml:space="preserve">the small number of cases necessitate cautious interpretation of these results and </w:t>
      </w:r>
      <w:r w:rsidR="00BC5C19" w:rsidRPr="008C43FB">
        <w:rPr>
          <w:lang w:val="en-US"/>
        </w:rPr>
        <w:t>further</w:t>
      </w:r>
      <w:r w:rsidR="0010259D" w:rsidRPr="008C43FB">
        <w:rPr>
          <w:lang w:val="en-US"/>
        </w:rPr>
        <w:t xml:space="preserve"> studies </w:t>
      </w:r>
      <w:r w:rsidR="00D27104" w:rsidRPr="008C43FB">
        <w:rPr>
          <w:lang w:val="en-US"/>
        </w:rPr>
        <w:t xml:space="preserve">providing more data </w:t>
      </w:r>
      <w:r w:rsidR="0010259D" w:rsidRPr="008C43FB">
        <w:rPr>
          <w:lang w:val="en-US"/>
        </w:rPr>
        <w:t>are essential to validate these results</w:t>
      </w:r>
      <w:r w:rsidR="00D27104" w:rsidRPr="008C43FB">
        <w:rPr>
          <w:lang w:val="en-US"/>
        </w:rPr>
        <w:t>.</w:t>
      </w:r>
      <w:r w:rsidR="0010259D" w:rsidRPr="008C43FB">
        <w:rPr>
          <w:lang w:val="en-US"/>
        </w:rPr>
        <w:t xml:space="preserve"> </w:t>
      </w:r>
      <w:r w:rsidR="007E21F5" w:rsidRPr="008C43FB">
        <w:rPr>
          <w:lang w:val="en-US"/>
        </w:rPr>
        <w:t xml:space="preserve">Maternal MS was also more frequent among registrants with transposition of the great arteries and orofacial clefts but these associations were not statistically significant after correction for multiple testing and may therefore reflect chance findings. </w:t>
      </w:r>
      <w:r w:rsidR="0010259D" w:rsidRPr="008C43FB">
        <w:rPr>
          <w:lang w:val="en-US"/>
        </w:rPr>
        <w:t xml:space="preserve">In addition, we observed </w:t>
      </w:r>
      <w:r w:rsidR="003C60E0" w:rsidRPr="008C43FB">
        <w:rPr>
          <w:lang w:val="en-US"/>
        </w:rPr>
        <w:t xml:space="preserve">no </w:t>
      </w:r>
      <w:r w:rsidR="0054174D" w:rsidRPr="008C43FB">
        <w:rPr>
          <w:lang w:val="en-US"/>
        </w:rPr>
        <w:t xml:space="preserve">significant </w:t>
      </w:r>
      <w:r w:rsidR="00BD4443" w:rsidRPr="008C43FB">
        <w:rPr>
          <w:lang w:val="en-US"/>
        </w:rPr>
        <w:t>association between 1</w:t>
      </w:r>
      <w:r w:rsidR="00BD4443" w:rsidRPr="008C43FB">
        <w:rPr>
          <w:vertAlign w:val="superscript"/>
          <w:lang w:val="en-US"/>
        </w:rPr>
        <w:t>st</w:t>
      </w:r>
      <w:r w:rsidR="00BD4443" w:rsidRPr="008C43FB">
        <w:rPr>
          <w:lang w:val="en-US"/>
        </w:rPr>
        <w:t xml:space="preserve"> trimester exposure to </w:t>
      </w:r>
      <w:r w:rsidR="0054174D" w:rsidRPr="008C43FB">
        <w:rPr>
          <w:lang w:val="en-US"/>
        </w:rPr>
        <w:t xml:space="preserve">glatiramer acetate or </w:t>
      </w:r>
      <w:r w:rsidR="00BD4443" w:rsidRPr="008C43FB">
        <w:rPr>
          <w:lang w:val="en-US"/>
        </w:rPr>
        <w:t xml:space="preserve">interferon-beta-1a and </w:t>
      </w:r>
      <w:r w:rsidR="0054174D" w:rsidRPr="008C43FB">
        <w:rPr>
          <w:lang w:val="en-US"/>
        </w:rPr>
        <w:t>CHDs</w:t>
      </w:r>
      <w:r w:rsidR="003C60E0" w:rsidRPr="008C43FB">
        <w:rPr>
          <w:lang w:val="en-US"/>
        </w:rPr>
        <w:t xml:space="preserve"> among registrants with maternal MS</w:t>
      </w:r>
      <w:r w:rsidR="00BD4443" w:rsidRPr="008C43FB">
        <w:rPr>
          <w:lang w:val="en-US"/>
        </w:rPr>
        <w:t>, providing reassuring results in line with the literature</w:t>
      </w:r>
      <w:r w:rsidR="00890BE5" w:rsidRPr="008C43FB">
        <w:rPr>
          <w:lang w:val="en-US"/>
        </w:rPr>
        <w:t>.</w:t>
      </w:r>
      <w:r w:rsidR="009329EF" w:rsidRPr="008C43FB">
        <w:rPr>
          <w:lang w:val="en-US"/>
        </w:rPr>
        <w:t xml:space="preserve"> </w:t>
      </w:r>
      <w:r w:rsidR="005E4FCB" w:rsidRPr="008C43FB">
        <w:rPr>
          <w:lang w:val="en-US"/>
        </w:rPr>
        <w:t xml:space="preserve">This study highlights the inherent challenges of studying rare outcomes, such as </w:t>
      </w:r>
      <w:r w:rsidR="00F455A4" w:rsidRPr="008C43FB">
        <w:rPr>
          <w:lang w:val="en-US"/>
        </w:rPr>
        <w:t>CA</w:t>
      </w:r>
      <w:r w:rsidR="005E4FCB" w:rsidRPr="008C43FB">
        <w:rPr>
          <w:lang w:val="en-US"/>
        </w:rPr>
        <w:t>, in the context of a rare disease like MS, even at the European level</w:t>
      </w:r>
      <w:r w:rsidR="008117EA" w:rsidRPr="008C43FB">
        <w:rPr>
          <w:lang w:val="en-US"/>
        </w:rPr>
        <w:t xml:space="preserve">. </w:t>
      </w:r>
      <w:r w:rsidR="005E4FCB" w:rsidRPr="008C43FB">
        <w:rPr>
          <w:lang w:val="en-US"/>
        </w:rPr>
        <w:t xml:space="preserve">In the meantime, our findings </w:t>
      </w:r>
      <w:r w:rsidR="008117EA" w:rsidRPr="008C43FB">
        <w:rPr>
          <w:lang w:val="en-US"/>
        </w:rPr>
        <w:t>contribute to the growing body of evidence in this area</w:t>
      </w:r>
      <w:r w:rsidR="00D27104" w:rsidRPr="008C43FB">
        <w:rPr>
          <w:lang w:val="en-US"/>
        </w:rPr>
        <w:t>.</w:t>
      </w:r>
      <w:r w:rsidR="008117EA" w:rsidRPr="008C43FB">
        <w:rPr>
          <w:lang w:val="en-US"/>
        </w:rPr>
        <w:t xml:space="preserve"> </w:t>
      </w:r>
      <w:r w:rsidR="009B251E" w:rsidRPr="008C43FB">
        <w:rPr>
          <w:lang w:val="en-US"/>
        </w:rPr>
        <w:t>F</w:t>
      </w:r>
      <w:r w:rsidR="007B39EA" w:rsidRPr="008C43FB">
        <w:rPr>
          <w:lang w:val="en-US"/>
        </w:rPr>
        <w:t xml:space="preserve">urther large-scale studies are needed to better assess potential associations between maternal MS, MS DMT exposure, and specific </w:t>
      </w:r>
      <w:r w:rsidR="00510687">
        <w:rPr>
          <w:lang w:val="en-US"/>
        </w:rPr>
        <w:t>CA</w:t>
      </w:r>
      <w:r w:rsidR="007B39EA" w:rsidRPr="008C43FB">
        <w:rPr>
          <w:lang w:val="en-US"/>
        </w:rPr>
        <w:t>.</w:t>
      </w:r>
    </w:p>
    <w:p w14:paraId="57C80881" w14:textId="77777777" w:rsidR="00A46DFC" w:rsidRPr="008C43FB" w:rsidRDefault="000A2644">
      <w:pPr>
        <w:rPr>
          <w:rFonts w:cstheme="minorHAnsi"/>
          <w:b/>
          <w:lang w:val="en-US"/>
        </w:rPr>
      </w:pPr>
      <w:r w:rsidRPr="008C43FB">
        <w:rPr>
          <w:rFonts w:cstheme="minorHAnsi"/>
          <w:b/>
          <w:lang w:val="en-US"/>
        </w:rPr>
        <w:br w:type="page"/>
      </w:r>
    </w:p>
    <w:p w14:paraId="57C80882" w14:textId="77777777" w:rsidR="00FB7B4C" w:rsidRPr="008C43FB" w:rsidRDefault="000A2644" w:rsidP="008C2BAE">
      <w:pPr>
        <w:pStyle w:val="Titre1"/>
        <w:numPr>
          <w:ilvl w:val="0"/>
          <w:numId w:val="0"/>
        </w:numPr>
        <w:ind w:left="360" w:hanging="360"/>
        <w:rPr>
          <w:lang w:val="en-US"/>
        </w:rPr>
      </w:pPr>
      <w:r w:rsidRPr="008C43FB">
        <w:rPr>
          <w:lang w:val="en-US"/>
        </w:rPr>
        <w:lastRenderedPageBreak/>
        <w:t>References</w:t>
      </w:r>
    </w:p>
    <w:p w14:paraId="6156063F" w14:textId="77777777" w:rsidR="00890BE5" w:rsidRPr="008C43FB" w:rsidRDefault="000A2644" w:rsidP="00890BE5">
      <w:pPr>
        <w:pStyle w:val="Bibliographie"/>
        <w:rPr>
          <w:rFonts w:ascii="Calibri" w:hAnsi="Calibri" w:cs="Calibri"/>
          <w:lang w:val="en-US"/>
        </w:rPr>
      </w:pPr>
      <w:r w:rsidRPr="008C43FB">
        <w:rPr>
          <w:rFonts w:cstheme="minorHAnsi"/>
          <w:lang w:val="en-US"/>
        </w:rPr>
        <w:fldChar w:fldCharType="begin"/>
      </w:r>
      <w:r w:rsidR="00890BE5" w:rsidRPr="008C43FB">
        <w:rPr>
          <w:rFonts w:cstheme="minorHAnsi"/>
          <w:lang w:val="en-US"/>
        </w:rPr>
        <w:instrText xml:space="preserve"> ADDIN ZOTERO_BIBL {"uncited":[],"omitted":[],"custom":[]} CSL_BIBLIOGRAPHY </w:instrText>
      </w:r>
      <w:r w:rsidRPr="008C43FB">
        <w:rPr>
          <w:rFonts w:cstheme="minorHAnsi"/>
          <w:lang w:val="en-US"/>
        </w:rPr>
        <w:fldChar w:fldCharType="separate"/>
      </w:r>
      <w:r w:rsidR="00890BE5" w:rsidRPr="008C43FB">
        <w:rPr>
          <w:rFonts w:ascii="Calibri" w:hAnsi="Calibri" w:cs="Calibri"/>
          <w:lang w:val="en-US"/>
        </w:rPr>
        <w:t>1. Vukusic S, Carra-Dalliere C, Ciron J, Maillart E, Michel L, Leray E, et al. Pregnancy and multiple sclerosis: 2022 recommendations from the French multiple sclerosis society. Mult Scler Houndmills Basingstoke Engl. 2022;13524585221129472. https://doi.org/10.1177/13524585221129472</w:t>
      </w:r>
    </w:p>
    <w:p w14:paraId="3C3A9B1E"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2. Portaccio E, Magyari M, Havrdova EK, Ruet A, Brochet B, Scalfari A, et al. Multiple sclerosis: emerging epidemiological trends and redefining the clinical course. Lancet Reg Health – Eur [Internet]. Elsevier; 2024 [cited 2025 Jan 12];44. https://doi.org/10.1016/j.lanepe.2024.100977</w:t>
      </w:r>
    </w:p>
    <w:p w14:paraId="2F5DADE2"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3. Yamout B, Al-Jumah M, Sahraian MA, Almalik Y, Khaburi JA, Shalaby N, et al. Consensus recommendations for diagnosis and treatment of Multiple Sclerosis: 2023 revision of the MENACTRIMS guidelines. Mult Scler Relat Disord. 2024;83:105435. https://doi.org/10.1016/j.msard.2024.105435</w:t>
      </w:r>
    </w:p>
    <w:p w14:paraId="37E484BA"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4. Giovannoni G, Butzkueven H, Dhib-Jalbut S, Hobart J, Kobelt G, Pepper G, et al. Brain health: time matters in multiple sclerosis. Mult Scler Relat Disord. Elsevier; 2016;9:S5–48. https://doi.org/10.1016/j.msard.2016.07.003</w:t>
      </w:r>
    </w:p>
    <w:p w14:paraId="54C4B44D"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5. Kearns PKA, Paton M, O’Neill M, Waters C, Colville S, McDonald J, et al. Regional variation in the incidence rate and sex ratio of multiple sclerosis in Scotland 2010-2017: findings from the Scottish Multiple Sclerosis Register. J Neurol. 2019;266:2376–86. https://doi.org/10.1007/s00415-019-09413-x</w:t>
      </w:r>
    </w:p>
    <w:p w14:paraId="1945DAEC"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6. Westerlind H, Boström I, Stawiarz L, Landtblom A-M, Almqvist C, Hillert J. New data identify an increasing sex ratio of multiple sclerosis in Sweden. Mult Scler Houndmills Basingstoke Engl. 2014;20:1578–83. https://doi.org/10.1177/1352458514530021</w:t>
      </w:r>
    </w:p>
    <w:p w14:paraId="27EC4742"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 xml:space="preserve">7. Beslay M, Geissbühler Y, Beau A-B, Messina D, Bénévent J, Ballardini E, et al. Identifying multiple sclerosis in women of childbearing age in six European countries: A contribution from the ConcePTION project. Eur J Epidemiol. Submitted; </w:t>
      </w:r>
    </w:p>
    <w:p w14:paraId="2E76794F"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8. Vukusic S, Michel L, Leguy S, Lebrun-Frenay C. Pregnancy with multiple sclerosis. Rev Neurol (Paris). 2021;177:180–94. https://doi.org/10.1016/j.neurol.2020.05.005</w:t>
      </w:r>
    </w:p>
    <w:p w14:paraId="1218865F"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9. Krysko KM, Dobson R, Alroughani R, Amato MP, Bove R, Ciplea AI, et al. Family planning considerations in people with multiple sclerosis. Lancet Neurol. 2023;22:350–66. https://doi.org/10.1016/S1474-4422(22)00426-4</w:t>
      </w:r>
    </w:p>
    <w:p w14:paraId="51E7A69A"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10. Jalkanen A, Alanen A, Airas L, Finnish Multiple Sclerosis and Pregnancy Study Group. Pregnancy outcome in women with multiple sclerosis: results from a prospective nationwide study in Finland. Mult Scler Houndmills Basingstoke Engl. 2010;16:950–5. https://doi.org/10.1177/1352458510372629</w:t>
      </w:r>
    </w:p>
    <w:p w14:paraId="3EEF55B6" w14:textId="77777777" w:rsidR="00890BE5" w:rsidRPr="008C43FB" w:rsidRDefault="00890BE5" w:rsidP="00890BE5">
      <w:pPr>
        <w:pStyle w:val="Bibliographie"/>
        <w:rPr>
          <w:rFonts w:ascii="Calibri" w:hAnsi="Calibri" w:cs="Calibri"/>
        </w:rPr>
      </w:pPr>
      <w:r w:rsidRPr="008C43FB">
        <w:rPr>
          <w:rFonts w:ascii="Calibri" w:hAnsi="Calibri" w:cs="Calibri"/>
          <w:lang w:val="en-US"/>
        </w:rPr>
        <w:t xml:space="preserve">11. MacDonald SC, McElrath TF, Hernández-Díaz S. Pregnancy Outcomes in Women With Multiple Sclerosis. </w:t>
      </w:r>
      <w:r w:rsidRPr="008C43FB">
        <w:rPr>
          <w:rFonts w:ascii="Calibri" w:hAnsi="Calibri" w:cs="Calibri"/>
        </w:rPr>
        <w:t>Am J Epidemiol. 2019;188:57–66. https://doi.org/10.1093/aje/kwy197</w:t>
      </w:r>
    </w:p>
    <w:p w14:paraId="7EB7F2F1" w14:textId="77777777" w:rsidR="00890BE5" w:rsidRPr="008C43FB" w:rsidRDefault="00890BE5" w:rsidP="00890BE5">
      <w:pPr>
        <w:pStyle w:val="Bibliographie"/>
        <w:rPr>
          <w:rFonts w:ascii="Calibri" w:hAnsi="Calibri" w:cs="Calibri"/>
          <w:lang w:val="en-US"/>
        </w:rPr>
      </w:pPr>
      <w:r w:rsidRPr="008C43FB">
        <w:rPr>
          <w:rFonts w:ascii="Calibri" w:hAnsi="Calibri" w:cs="Calibri"/>
        </w:rPr>
        <w:t xml:space="preserve">12. Lu E, Zhao Y, Zhu F, van der Kop ML, Synnes A, Dahlgren L, et al. </w:t>
      </w:r>
      <w:r w:rsidRPr="008C43FB">
        <w:rPr>
          <w:rFonts w:ascii="Calibri" w:hAnsi="Calibri" w:cs="Calibri"/>
          <w:lang w:val="en-US"/>
        </w:rPr>
        <w:t xml:space="preserve">Birth hospitalization in mothers with multiple sclerosis and their newborns. Neurology. 2013;447–52. </w:t>
      </w:r>
    </w:p>
    <w:p w14:paraId="71F000DB"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lastRenderedPageBreak/>
        <w:t>13. Bove R, Alwan S, Friedman JM, Hellwig K, Houtchens M, Koren G, et al. Management of multiple sclerosis during pregnancy and the reproductive years: a systematic review. Obstet Gynecol. 2014;124:1157–68. https://doi.org/10.1097/AOG.0000000000000541</w:t>
      </w:r>
    </w:p>
    <w:p w14:paraId="1F5DD4C3"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14. Soler B, Ciampi E, Uribe-San-Martín R, Keller K, Astudillo M, Charaf V, et al. Pregnancy outcomes in women with Multiple Sclerosis. Mult Scler Relat Disord. 2021;48:102682. https://doi.org/10.1016/j.msard.2020.102682</w:t>
      </w:r>
    </w:p>
    <w:p w14:paraId="6DB7F269"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15. Houtchens MK, Edwards NC, Schneider G, Stern K, Phillips AL. Pregnancy rates and outcomes in women with and without MS in the United States. Neurology. 2018;91:e1559–69. https://doi.org/10.1212/WNL.0000000000006384</w:t>
      </w:r>
    </w:p>
    <w:p w14:paraId="44DBA17A"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16. Rahmati S, Galavi Z, Kavyani B, Arshadi H, Geerts J, Sharifi H. Maternal and neonatal outcomes in pregnant women with multiple sclerosis disease: a systematic review and meta-analysis. Midwifery. 2024;104004. https://doi.org/10.1016/j.midw.2024.104004</w:t>
      </w:r>
    </w:p>
    <w:p w14:paraId="38CE9E90"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17. Ramagopalan SV, Guimond C, Criscuoli M, Dyment DA, Orton S-M, Yee IM, et al. Congenital Abnormalities and Multiple Sclerosis. BMC Neurol. 2010;10:115. https://doi.org/10.1186/1471-2377-10-115</w:t>
      </w:r>
    </w:p>
    <w:p w14:paraId="69A5BA99"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18. Yalcin SE, Yalcin Y, Yavuz A, Akkurt MO, Sezik M. Maternal and perinatal outcomes in pregnancies with multiple sclerosis: a case-control study. J Perinat Med. De Gruyter; 2017;45:455–60. https://doi.org/10.1515/jpm-2016-0060</w:t>
      </w:r>
    </w:p>
    <w:p w14:paraId="15F479F1"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19. Giannini M, Portaccio E, Ghezzi A, Hakiki B, Pastò L, Razzolini L, et al. Pregnancy and fetal outcomes after Glatiramer Acetate exposure in patients with multiple sclerosis: a prospective observational multicentric study. BMC Neurol. 2012;12:124. https://doi.org/10.1186/1471-2377-12-124</w:t>
      </w:r>
    </w:p>
    <w:p w14:paraId="5EF6DDC7"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20. Sandberg-Wollheim M, Neudorfer O, Grinspan A, Weinstock-Guttman B, Haas J, Izquierdo G, et al. Pregnancy Outcomes from the Branded Glatiramer Acetate Pregnancy Database. Int J MS Care. 2018;20:9–14. https://doi.org/10.7224/1537-2073.2016-079</w:t>
      </w:r>
    </w:p>
    <w:p w14:paraId="3FA70338"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21. Hakkarainen KM, Juuti R, Burkill S, Geissbühler Y, Sabidó M, Popescu C, et al. Pregnancy outcomes after exposure to interferon beta: a register-based cohort study among women with MS in Finland and Sweden. Ther Adv Neurol Disord. 2020;13:1756286420951072. https://doi.org/10.1177/1756286420951072</w:t>
      </w:r>
    </w:p>
    <w:p w14:paraId="053352B7"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22. Hellwig K, Haghikia A, Rockhoff M, Gold R. Multiple sclerosis and pregnancy: experience from a nationwide database in Germany. Ther Adv Neurol Disord. 2012;5:247–53. https://doi.org/10.1177/1756285612453192</w:t>
      </w:r>
    </w:p>
    <w:p w14:paraId="1CF8E204"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23. Sandberg-Wollheim M, Alteri E, Moraga MS, Kornmann G. Pregnancy outcomes in multiple sclerosis following subcutaneous interferon beta-1a therapy. Mult Scler Houndmills Basingstoke Engl. 2011;17:423–30. https://doi.org/10.1177/1352458510394610</w:t>
      </w:r>
    </w:p>
    <w:p w14:paraId="13037B63"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24. Weber-Schoendorfer C, Schaefer C. Multiple sclerosis, immunomodulators, and pregnancy outcome: a prospective observational study. Mult Scler J. SAGE Publications Ltd STM; 2009;15:1037–42. https://doi.org/10.1177/1352458509106543</w:t>
      </w:r>
    </w:p>
    <w:p w14:paraId="07A146D5"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 xml:space="preserve">25. Bast N, Dost-Kovalsky K, Haben S, Friedmann N, Witt L, Oganowski T, et al. Impact of disease-modifying therapies on pregnancy outcomes in multiple sclerosis: a prospective cohort study from </w:t>
      </w:r>
      <w:r w:rsidRPr="008C43FB">
        <w:rPr>
          <w:rFonts w:ascii="Calibri" w:hAnsi="Calibri" w:cs="Calibri"/>
          <w:lang w:val="en-US"/>
        </w:rPr>
        <w:lastRenderedPageBreak/>
        <w:t>the German multiple sclerosis and pregnancy registry. Lancet Reg Health – Eur [Internet]. Elsevier; 2025 [cited 2025 Jan 7];48. https://doi.org/10.1016/j.lanepe.2024.101137</w:t>
      </w:r>
    </w:p>
    <w:p w14:paraId="5126FFE4"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26. Geissbühler Y, Vile J, Koren G, Guennec M, Butzkueven H, Tilson H, et al. Evaluation of pregnancy outcomes in patients with multiple sclerosis after fingolimod exposure. Ther Adv Neurol Disord. 2018;11:1756286418804760. https://doi.org/10.1177/1756286418804760</w:t>
      </w:r>
    </w:p>
    <w:p w14:paraId="6033B59A"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27. Karlsson G, Francis G, Koren G, Heining P, Zhang X, Cohen JA, et al. Pregnancy outcomes in the clinical development program of fingolimod in multiple sclerosis. Neurology. 2014;82:674–80. https://doi.org/10.1212/WNL.0000000000000137</w:t>
      </w:r>
    </w:p>
    <w:p w14:paraId="3ACAC4BD"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 xml:space="preserve">28. EUROCAT Guide 1.4. Instruction for the registration of congenital anomalies. EUROCAT Central Registry, University of Ulster. Available at: https://eu-rd-platform.jrc.ec.europa.eu/sites/default/files/JRC-EUROCAT-Full-Guide-1.4-version-15-Nov-2019.pdf. 2013. </w:t>
      </w:r>
    </w:p>
    <w:p w14:paraId="0FEA60CD"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29. Gosho M, Ohigashi T, Nagashima K, Ito Y, Maruo K. Bias in Odds Ratios From Logistic Regression Methods With Sparse Data Sets. J Epidemiol. 2023;33:265–75. https://doi.org/10.2188/jea.JE20210089</w:t>
      </w:r>
    </w:p>
    <w:p w14:paraId="2D905FA8"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30. Benjamini Y, Hochberg Y. Controlling the False Discovery Rate: A Practical and Powerful Approach to Multiple Testing. J R Stat Soc Ser B Methodol. 1995;57:289–300. https://doi.org/10.1111/j.2517-6161.1995.tb02031.x</w:t>
      </w:r>
    </w:p>
    <w:p w14:paraId="16B278F0" w14:textId="77777777" w:rsidR="00890BE5" w:rsidRPr="008C43FB" w:rsidRDefault="00890BE5" w:rsidP="00890BE5">
      <w:pPr>
        <w:pStyle w:val="Bibliographie"/>
        <w:rPr>
          <w:rFonts w:ascii="Calibri" w:hAnsi="Calibri" w:cs="Calibri"/>
        </w:rPr>
      </w:pPr>
      <w:r w:rsidRPr="008C43FB">
        <w:rPr>
          <w:rFonts w:ascii="Calibri" w:hAnsi="Calibri" w:cs="Calibri"/>
        </w:rPr>
        <w:t>31. Chuaire-Noack L. Nuevas pistas para comprender la gastrosquisis. Embriología, patogénesis y epidemiología. Colomb Medica. 2021;52:e4004227–e4004227. https://doi.org/10.25100/cm.v52i3.4227</w:t>
      </w:r>
    </w:p>
    <w:p w14:paraId="57D65EE9" w14:textId="77777777" w:rsidR="00890BE5" w:rsidRPr="008C43FB" w:rsidRDefault="00890BE5" w:rsidP="00890BE5">
      <w:pPr>
        <w:pStyle w:val="Bibliographie"/>
        <w:rPr>
          <w:rFonts w:ascii="Calibri" w:hAnsi="Calibri" w:cs="Calibri"/>
          <w:lang w:val="en-US"/>
        </w:rPr>
      </w:pPr>
      <w:r w:rsidRPr="008C43FB">
        <w:rPr>
          <w:rFonts w:ascii="Calibri" w:hAnsi="Calibri" w:cs="Calibri"/>
        </w:rPr>
        <w:t xml:space="preserve">32. Fisher SC, Howley MM, Romitti PA, Desrosiers TA, Jabs EW, Browne ML, et al. </w:t>
      </w:r>
      <w:r w:rsidRPr="008C43FB">
        <w:rPr>
          <w:rFonts w:ascii="Calibri" w:hAnsi="Calibri" w:cs="Calibri"/>
          <w:lang w:val="en-US"/>
        </w:rPr>
        <w:t>Maternal periconceptional alcohol consumption and gastroschisis in the National Birth Defects Prevention Study, 1997-2011. Paediatr Perinat Epidemiol. 2022;36:782–91. https://doi.org/10.1111/ppe.12882</w:t>
      </w:r>
    </w:p>
    <w:p w14:paraId="5603F4AC"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33. Perry MF, Mulcahy H, DeFranco EA. Influence of periconception smoking behavior on birth defect risk. Am J Obstet Gynecol. 2019;220:588.e1-588.e7. https://doi.org/10.1016/j.ajog.2019.02.029</w:t>
      </w:r>
    </w:p>
    <w:p w14:paraId="70CE5721"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34. Yazdy MM, Mitchell AA, Werler MM. Maternal genitourinary infections and the risk of gastroschisis. Am J Epidemiol. 2014;180:518–25. https://doi.org/10.1093/aje/kwu157</w:t>
      </w:r>
    </w:p>
    <w:p w14:paraId="36F1755D"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35. Vinogradov R, Muthupunnackal A, Moffat M, Rankin J. Genitourinary infection and gastroschisis: A systematic review and meta-analysis. Birth Defects Res. 2024;116:e2377. https://doi.org/10.1002/bdr2.2377</w:t>
      </w:r>
    </w:p>
    <w:p w14:paraId="68304BAC"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36. Kapapa M, Rieg T, Henne-Bruns D, Serra A. Risk factors for abdominal wall defects. Congenit Anom. 2020;60:54–61. https://doi.org/10.1111/cga.12336</w:t>
      </w:r>
    </w:p>
    <w:p w14:paraId="1FD3EBFD"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37. Herbstritt S, Langer-Gould A, Rockhoff M, Haghikia A, Queisser-Wahrendorf A, Gold R, et al. Glatiramer acetate during early pregnancy: A prospective cohort study. Mult Scler Houndmills Basingstoke Engl. 2016;22:810–6. https://doi.org/10.1177/1352458515623366</w:t>
      </w:r>
    </w:p>
    <w:p w14:paraId="20110EF8" w14:textId="77777777" w:rsidR="00890BE5" w:rsidRPr="008C43FB" w:rsidRDefault="00890BE5" w:rsidP="00890BE5">
      <w:pPr>
        <w:pStyle w:val="Bibliographie"/>
        <w:rPr>
          <w:rFonts w:ascii="Calibri" w:hAnsi="Calibri" w:cs="Calibri"/>
          <w:lang w:val="en-US"/>
        </w:rPr>
      </w:pPr>
      <w:r w:rsidRPr="008C43FB">
        <w:rPr>
          <w:rFonts w:ascii="Calibri" w:hAnsi="Calibri" w:cs="Calibri"/>
          <w:lang w:val="en-US"/>
        </w:rPr>
        <w:t>38. Kaplan S, Zeygarnik M, Stern T. Pregnancy, Fetal, and Infant Outcomes Following Maternal Exposure to Glatiramer Acetate During Pregnancy and Breastfeeding. Drug Saf. 2022;45:345–57. https://doi.org/10.1007/s40264-022-01168-1</w:t>
      </w:r>
    </w:p>
    <w:p w14:paraId="321C3640" w14:textId="0FBEEBB0" w:rsidR="008C2BAE" w:rsidRPr="008C43FB" w:rsidRDefault="000A2644" w:rsidP="00B64876">
      <w:pPr>
        <w:spacing w:after="120" w:line="360" w:lineRule="auto"/>
        <w:jc w:val="both"/>
        <w:rPr>
          <w:rFonts w:cstheme="minorHAnsi"/>
          <w:lang w:val="en-US"/>
        </w:rPr>
      </w:pPr>
      <w:r w:rsidRPr="008C43FB">
        <w:rPr>
          <w:rFonts w:cstheme="minorHAnsi"/>
          <w:lang w:val="en-US"/>
        </w:rPr>
        <w:lastRenderedPageBreak/>
        <w:fldChar w:fldCharType="end"/>
      </w:r>
    </w:p>
    <w:p w14:paraId="787C9B31" w14:textId="41064748" w:rsidR="00F624D4" w:rsidRPr="008C43FB" w:rsidRDefault="008C2BAE" w:rsidP="008C2BAE">
      <w:pPr>
        <w:pStyle w:val="Titre1"/>
        <w:numPr>
          <w:ilvl w:val="0"/>
          <w:numId w:val="0"/>
        </w:numPr>
        <w:ind w:left="360" w:hanging="360"/>
        <w:rPr>
          <w:lang w:val="en-US"/>
        </w:rPr>
      </w:pPr>
      <w:r w:rsidRPr="008C43FB">
        <w:rPr>
          <w:lang w:val="en-US"/>
        </w:rPr>
        <w:t>Statements &amp; Declarations</w:t>
      </w:r>
    </w:p>
    <w:p w14:paraId="1E98FB35" w14:textId="77777777" w:rsidR="008C2BAE" w:rsidRPr="008C43FB" w:rsidRDefault="008C2BAE" w:rsidP="008C2BAE">
      <w:pPr>
        <w:pStyle w:val="Titre2"/>
        <w:numPr>
          <w:ilvl w:val="0"/>
          <w:numId w:val="0"/>
        </w:numPr>
        <w:ind w:left="425"/>
        <w:rPr>
          <w:lang w:val="en-US"/>
        </w:rPr>
      </w:pPr>
      <w:r w:rsidRPr="008C43FB">
        <w:rPr>
          <w:lang w:val="en-US"/>
        </w:rPr>
        <w:t xml:space="preserve">Funding sources </w:t>
      </w:r>
    </w:p>
    <w:p w14:paraId="6DE9E376" w14:textId="77777777" w:rsidR="008C2BAE" w:rsidRPr="008C43FB" w:rsidRDefault="008C2BAE" w:rsidP="008C2BAE">
      <w:pPr>
        <w:spacing w:line="360" w:lineRule="auto"/>
        <w:jc w:val="both"/>
        <w:rPr>
          <w:rFonts w:cstheme="minorHAnsi"/>
          <w:lang w:val="en-US"/>
        </w:rPr>
      </w:pPr>
      <w:r w:rsidRPr="008C43FB">
        <w:rPr>
          <w:rFonts w:cstheme="minorHAnsi"/>
          <w:lang w:val="en-US"/>
        </w:rPr>
        <w:t xml:space="preserve">The </w:t>
      </w:r>
      <w:proofErr w:type="spellStart"/>
      <w:r w:rsidRPr="008C43FB">
        <w:rPr>
          <w:rFonts w:cstheme="minorHAnsi"/>
          <w:lang w:val="en-US"/>
        </w:rPr>
        <w:t>ConcePTION</w:t>
      </w:r>
      <w:proofErr w:type="spellEnd"/>
      <w:r w:rsidRPr="008C43FB">
        <w:rPr>
          <w:rFonts w:cstheme="minorHAnsi"/>
          <w:lang w:val="en-US"/>
        </w:rPr>
        <w:t xml:space="preserve"> project has received funding from the Innovative Medicines Initiative 2 Joint Undertaking under grant agreement No. 821520. This Joint Undertaking receives support from the European Union’s Horizon 2020 research and innovation program and EFPIA. The research leading to these Results was conducted as part of the </w:t>
      </w:r>
      <w:proofErr w:type="spellStart"/>
      <w:r w:rsidRPr="008C43FB">
        <w:rPr>
          <w:rFonts w:cstheme="minorHAnsi"/>
          <w:lang w:val="en-US"/>
        </w:rPr>
        <w:t>ConcePTION</w:t>
      </w:r>
      <w:proofErr w:type="spellEnd"/>
      <w:r w:rsidRPr="008C43FB">
        <w:rPr>
          <w:rFonts w:cstheme="minorHAnsi"/>
          <w:lang w:val="en-US"/>
        </w:rPr>
        <w:t xml:space="preserve"> consortium. This paper only reflects the personal views of the stated authors. Open access funding enabled by Toulouse University Hospital.</w:t>
      </w:r>
    </w:p>
    <w:p w14:paraId="40C82373" w14:textId="5116EB91" w:rsidR="008C2BAE" w:rsidRPr="008C43FB" w:rsidRDefault="008C2BAE" w:rsidP="008C2BAE">
      <w:pPr>
        <w:pStyle w:val="Titre2"/>
        <w:numPr>
          <w:ilvl w:val="0"/>
          <w:numId w:val="0"/>
        </w:numPr>
        <w:ind w:left="425"/>
        <w:rPr>
          <w:lang w:val="en-US"/>
        </w:rPr>
      </w:pPr>
      <w:r w:rsidRPr="008C43FB">
        <w:rPr>
          <w:lang w:val="en-US"/>
        </w:rPr>
        <w:t>Competing interests</w:t>
      </w:r>
    </w:p>
    <w:p w14:paraId="5904B6BC" w14:textId="77777777" w:rsidR="008C2BAE" w:rsidRPr="008C43FB" w:rsidRDefault="008C2BAE" w:rsidP="008C2BAE">
      <w:pPr>
        <w:rPr>
          <w:lang w:val="en-US"/>
        </w:rPr>
      </w:pPr>
      <w:r w:rsidRPr="008C43FB">
        <w:rPr>
          <w:lang w:val="en-US"/>
        </w:rPr>
        <w:t>All other co-authors have no competing interests to disclose.</w:t>
      </w:r>
    </w:p>
    <w:p w14:paraId="5BAD7A92" w14:textId="77777777" w:rsidR="008C2BAE" w:rsidRPr="008C43FB" w:rsidRDefault="008C2BAE" w:rsidP="008C2BAE">
      <w:pPr>
        <w:pStyle w:val="Titre2"/>
        <w:numPr>
          <w:ilvl w:val="0"/>
          <w:numId w:val="0"/>
        </w:numPr>
        <w:ind w:left="425"/>
        <w:rPr>
          <w:lang w:val="en-US"/>
        </w:rPr>
      </w:pPr>
      <w:r w:rsidRPr="008C43FB">
        <w:rPr>
          <w:lang w:val="en-US"/>
        </w:rPr>
        <w:t>Author contributions</w:t>
      </w:r>
    </w:p>
    <w:p w14:paraId="29442B3A" w14:textId="62F7DD1A" w:rsidR="008C2BAE" w:rsidRPr="008C43FB" w:rsidRDefault="008C2BAE" w:rsidP="008C2BAE">
      <w:pPr>
        <w:spacing w:line="360" w:lineRule="auto"/>
        <w:jc w:val="both"/>
        <w:rPr>
          <w:rFonts w:cstheme="minorHAnsi"/>
          <w:lang w:val="en-US"/>
        </w:rPr>
      </w:pPr>
      <w:r w:rsidRPr="008C43FB">
        <w:rPr>
          <w:rFonts w:cstheme="minorHAnsi"/>
          <w:lang w:val="en-US"/>
        </w:rPr>
        <w:t xml:space="preserve">The study was primarily conceived and designed by MB and CDM. ML provided access to the </w:t>
      </w:r>
      <w:proofErr w:type="spellStart"/>
      <w:r w:rsidRPr="008C43FB">
        <w:rPr>
          <w:rFonts w:cstheme="minorHAnsi"/>
          <w:lang w:val="en-US"/>
        </w:rPr>
        <w:t>EuromediCAT</w:t>
      </w:r>
      <w:proofErr w:type="spellEnd"/>
      <w:r w:rsidRPr="008C43FB">
        <w:rPr>
          <w:rFonts w:cstheme="minorHAnsi"/>
          <w:lang w:val="en-US"/>
        </w:rPr>
        <w:t xml:space="preserve"> Central Database. IB, JEHB, </w:t>
      </w:r>
      <w:r w:rsidR="00782520">
        <w:rPr>
          <w:rFonts w:cstheme="minorHAnsi"/>
          <w:lang w:val="en-US"/>
        </w:rPr>
        <w:t xml:space="preserve">CCC, </w:t>
      </w:r>
      <w:r w:rsidRPr="008C43FB">
        <w:rPr>
          <w:rFonts w:cstheme="minorHAnsi"/>
          <w:lang w:val="en-US"/>
        </w:rPr>
        <w:t>AC, EG, MG, JH, EDH, ALB, NL, MM, AP, AR and JS reviewed and confirmed exposure and congenital anomalies classification of their exposed cases. EG and ML reviewed the congenital anomalies classification and provided input in the case series description. The data curation and statistical analyses were performed by ECC. MB and ECC drafted the manuscript and all authors commented on previous versions of the manuscript. JM provided statistical expertise. All authors read and approved the final manuscript.</w:t>
      </w:r>
    </w:p>
    <w:p w14:paraId="28E970CC" w14:textId="77777777" w:rsidR="008C2BAE" w:rsidRPr="008C43FB" w:rsidRDefault="008C2BAE" w:rsidP="008C2BAE">
      <w:pPr>
        <w:rPr>
          <w:lang w:val="en-US"/>
        </w:rPr>
      </w:pPr>
    </w:p>
    <w:sectPr w:rsidR="008C2BAE" w:rsidRPr="008C43FB">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0954DA" w16cex:dateUtc="2026-03-30T15:45:00Z"/>
  <w16cex:commentExtensible w16cex:durableId="74FE4118" w16cex:dateUtc="2026-03-30T15:43:00Z"/>
  <w16cex:commentExtensible w16cex:durableId="0BEFB3CD" w16cex:dateUtc="2026-03-31T11:50:00Z"/>
  <w16cex:commentExtensible w16cex:durableId="0F8A5C52" w16cex:dateUtc="2026-03-30T16:11:00Z"/>
  <w16cex:commentExtensible w16cex:durableId="1D0CF2EE" w16cex:dateUtc="2026-03-30T15:45:00Z"/>
  <w16cex:commentExtensible w16cex:durableId="18B01E1F" w16cex:dateUtc="2026-03-31T11:51:00Z"/>
  <w16cex:commentExtensible w16cex:durableId="31607240" w16cex:dateUtc="2026-03-30T16:06:00Z"/>
  <w16cex:commentExtensible w16cex:durableId="35899892" w16cex:dateUtc="2026-03-31T11:52:00Z"/>
  <w16cex:commentExtensible w16cex:durableId="13212890" w16cex:dateUtc="2026-03-30T16:46:00Z"/>
  <w16cex:commentExtensible w16cex:durableId="69218DB1" w16cex:dateUtc="2026-03-31T11:53:00Z"/>
  <w16cex:commentExtensible w16cex:durableId="05C78100" w16cex:dateUtc="2026-03-31T11:55:00Z"/>
  <w16cex:commentExtensible w16cex:durableId="435437D1" w16cex:dateUtc="2026-03-30T16:52:00Z"/>
  <w16cex:commentExtensible w16cex:durableId="06C95335" w16cex:dateUtc="2026-03-30T16:59:00Z"/>
  <w16cex:commentExtensible w16cex:durableId="26EB947C" w16cex:dateUtc="2026-03-30T17:12:00Z"/>
  <w16cex:commentExtensible w16cex:durableId="3579AFE3" w16cex:dateUtc="2026-03-30T17:15:00Z"/>
  <w16cex:commentExtensible w16cex:durableId="784EC527" w16cex:dateUtc="2026-03-30T17:29:00Z"/>
  <w16cex:commentExtensible w16cex:durableId="64D8746A" w16cex:dateUtc="2026-03-30T17:32:00Z"/>
  <w16cex:commentExtensible w16cex:durableId="3923B56B" w16cex:dateUtc="2026-03-31T12:12:00Z"/>
  <w16cex:commentExtensible w16cex:durableId="0AF5E649" w16cex:dateUtc="2026-03-30T17:30:00Z"/>
  <w16cex:commentExtensible w16cex:durableId="1C1EC63B" w16cex:dateUtc="2026-03-30T17:35:00Z"/>
  <w16cex:commentExtensible w16cex:durableId="6A49305F" w16cex:dateUtc="2026-03-30T17:38:00Z"/>
  <w16cex:commentExtensible w16cex:durableId="47794423" w16cex:dateUtc="2026-03-30T17:44:00Z"/>
  <w16cex:commentExtensible w16cex:durableId="145AAA90" w16cex:dateUtc="2026-03-31T12:15:00Z"/>
  <w16cex:commentExtensible w16cex:durableId="660C9398" w16cex:dateUtc="2026-03-30T17:48:00Z"/>
  <w16cex:commentExtensible w16cex:durableId="1C2ED24D" w16cex:dateUtc="2026-03-30T17:53:00Z"/>
  <w16cex:commentExtensible w16cex:durableId="2C949A62" w16cex:dateUtc="2026-03-31T12:20:00Z"/>
  <w16cex:commentExtensible w16cex:durableId="30713EFE" w16cex:dateUtc="2026-03-31T12:21:00Z"/>
  <w16cex:commentExtensible w16cex:durableId="05237496" w16cex:dateUtc="2026-03-31T12: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65E37" w14:textId="77777777" w:rsidR="00791C85" w:rsidRDefault="00791C85">
      <w:pPr>
        <w:spacing w:after="0" w:line="240" w:lineRule="auto"/>
      </w:pPr>
      <w:r>
        <w:separator/>
      </w:r>
    </w:p>
  </w:endnote>
  <w:endnote w:type="continuationSeparator" w:id="0">
    <w:p w14:paraId="4428EC11" w14:textId="77777777" w:rsidR="00791C85" w:rsidRDefault="00791C85">
      <w:pPr>
        <w:spacing w:after="0" w:line="240" w:lineRule="auto"/>
      </w:pPr>
      <w:r>
        <w:continuationSeparator/>
      </w:r>
    </w:p>
  </w:endnote>
  <w:endnote w:type="continuationNotice" w:id="1">
    <w:p w14:paraId="0729BC01" w14:textId="77777777" w:rsidR="00791C85" w:rsidRDefault="00791C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5501848"/>
      <w:docPartObj>
        <w:docPartGallery w:val="Page Numbers (Bottom of Page)"/>
        <w:docPartUnique/>
      </w:docPartObj>
    </w:sdtPr>
    <w:sdtEndPr/>
    <w:sdtContent>
      <w:p w14:paraId="57C808C2" w14:textId="4843DAF2" w:rsidR="0010259D" w:rsidRDefault="0010259D">
        <w:pPr>
          <w:pStyle w:val="Pieddepage"/>
          <w:jc w:val="right"/>
        </w:pPr>
        <w:r>
          <w:fldChar w:fldCharType="begin"/>
        </w:r>
        <w:r>
          <w:instrText>PAGE   \* MERGEFORMAT</w:instrText>
        </w:r>
        <w:r>
          <w:fldChar w:fldCharType="separate"/>
        </w:r>
        <w:r w:rsidR="008C225D">
          <w:rPr>
            <w:noProof/>
          </w:rPr>
          <w:t>16</w:t>
        </w:r>
        <w:r>
          <w:fldChar w:fldCharType="end"/>
        </w:r>
      </w:p>
    </w:sdtContent>
  </w:sdt>
  <w:p w14:paraId="57C808C3" w14:textId="77777777" w:rsidR="0010259D" w:rsidRDefault="0010259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8078A" w14:textId="77777777" w:rsidR="00791C85" w:rsidRDefault="00791C85">
      <w:pPr>
        <w:spacing w:after="0" w:line="240" w:lineRule="auto"/>
      </w:pPr>
      <w:r>
        <w:separator/>
      </w:r>
    </w:p>
  </w:footnote>
  <w:footnote w:type="continuationSeparator" w:id="0">
    <w:p w14:paraId="55CA7857" w14:textId="77777777" w:rsidR="00791C85" w:rsidRDefault="00791C85">
      <w:pPr>
        <w:spacing w:after="0" w:line="240" w:lineRule="auto"/>
      </w:pPr>
      <w:r>
        <w:continuationSeparator/>
      </w:r>
    </w:p>
  </w:footnote>
  <w:footnote w:type="continuationNotice" w:id="1">
    <w:p w14:paraId="2CF5117D" w14:textId="77777777" w:rsidR="00791C85" w:rsidRDefault="00791C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D2A4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8B049F"/>
    <w:multiLevelType w:val="multilevel"/>
    <w:tmpl w:val="6FF47ABE"/>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024BA3"/>
    <w:multiLevelType w:val="hybridMultilevel"/>
    <w:tmpl w:val="E238FE18"/>
    <w:lvl w:ilvl="0" w:tplc="2F0A2192">
      <w:start w:val="1"/>
      <w:numFmt w:val="decimal"/>
      <w:lvlText w:val="%1."/>
      <w:lvlJc w:val="left"/>
      <w:pPr>
        <w:ind w:left="360" w:hanging="360"/>
      </w:pPr>
    </w:lvl>
    <w:lvl w:ilvl="1" w:tplc="616E5534" w:tentative="1">
      <w:start w:val="1"/>
      <w:numFmt w:val="lowerLetter"/>
      <w:lvlText w:val="%2."/>
      <w:lvlJc w:val="left"/>
      <w:pPr>
        <w:ind w:left="1080" w:hanging="360"/>
      </w:pPr>
    </w:lvl>
    <w:lvl w:ilvl="2" w:tplc="0218C0A8" w:tentative="1">
      <w:start w:val="1"/>
      <w:numFmt w:val="lowerRoman"/>
      <w:lvlText w:val="%3."/>
      <w:lvlJc w:val="right"/>
      <w:pPr>
        <w:ind w:left="1800" w:hanging="180"/>
      </w:pPr>
    </w:lvl>
    <w:lvl w:ilvl="3" w:tplc="8C0050A4" w:tentative="1">
      <w:start w:val="1"/>
      <w:numFmt w:val="decimal"/>
      <w:lvlText w:val="%4."/>
      <w:lvlJc w:val="left"/>
      <w:pPr>
        <w:ind w:left="2520" w:hanging="360"/>
      </w:pPr>
    </w:lvl>
    <w:lvl w:ilvl="4" w:tplc="2D580CCE" w:tentative="1">
      <w:start w:val="1"/>
      <w:numFmt w:val="lowerLetter"/>
      <w:lvlText w:val="%5."/>
      <w:lvlJc w:val="left"/>
      <w:pPr>
        <w:ind w:left="3240" w:hanging="360"/>
      </w:pPr>
    </w:lvl>
    <w:lvl w:ilvl="5" w:tplc="7EC4BCFC" w:tentative="1">
      <w:start w:val="1"/>
      <w:numFmt w:val="lowerRoman"/>
      <w:lvlText w:val="%6."/>
      <w:lvlJc w:val="right"/>
      <w:pPr>
        <w:ind w:left="3960" w:hanging="180"/>
      </w:pPr>
    </w:lvl>
    <w:lvl w:ilvl="6" w:tplc="9E28DDEE" w:tentative="1">
      <w:start w:val="1"/>
      <w:numFmt w:val="decimal"/>
      <w:lvlText w:val="%7."/>
      <w:lvlJc w:val="left"/>
      <w:pPr>
        <w:ind w:left="4680" w:hanging="360"/>
      </w:pPr>
    </w:lvl>
    <w:lvl w:ilvl="7" w:tplc="B37E64CA" w:tentative="1">
      <w:start w:val="1"/>
      <w:numFmt w:val="lowerLetter"/>
      <w:lvlText w:val="%8."/>
      <w:lvlJc w:val="left"/>
      <w:pPr>
        <w:ind w:left="5400" w:hanging="360"/>
      </w:pPr>
    </w:lvl>
    <w:lvl w:ilvl="8" w:tplc="10284F80" w:tentative="1">
      <w:start w:val="1"/>
      <w:numFmt w:val="lowerRoman"/>
      <w:lvlText w:val="%9."/>
      <w:lvlJc w:val="right"/>
      <w:pPr>
        <w:ind w:left="6120" w:hanging="180"/>
      </w:pPr>
    </w:lvl>
  </w:abstractNum>
  <w:abstractNum w:abstractNumId="3" w15:restartNumberingAfterBreak="0">
    <w:nsid w:val="2D927A8D"/>
    <w:multiLevelType w:val="hybridMultilevel"/>
    <w:tmpl w:val="0E02ABDC"/>
    <w:lvl w:ilvl="0" w:tplc="DDF47544">
      <w:start w:val="1"/>
      <w:numFmt w:val="bullet"/>
      <w:lvlText w:val=""/>
      <w:lvlJc w:val="left"/>
      <w:pPr>
        <w:ind w:left="720" w:hanging="360"/>
      </w:pPr>
      <w:rPr>
        <w:rFonts w:ascii="Symbol" w:hAnsi="Symbol" w:hint="default"/>
      </w:rPr>
    </w:lvl>
    <w:lvl w:ilvl="1" w:tplc="212E525E" w:tentative="1">
      <w:start w:val="1"/>
      <w:numFmt w:val="bullet"/>
      <w:lvlText w:val="o"/>
      <w:lvlJc w:val="left"/>
      <w:pPr>
        <w:ind w:left="1440" w:hanging="360"/>
      </w:pPr>
      <w:rPr>
        <w:rFonts w:ascii="Courier New" w:hAnsi="Courier New" w:cs="Courier New" w:hint="default"/>
      </w:rPr>
    </w:lvl>
    <w:lvl w:ilvl="2" w:tplc="56625A30" w:tentative="1">
      <w:start w:val="1"/>
      <w:numFmt w:val="bullet"/>
      <w:lvlText w:val=""/>
      <w:lvlJc w:val="left"/>
      <w:pPr>
        <w:ind w:left="2160" w:hanging="360"/>
      </w:pPr>
      <w:rPr>
        <w:rFonts w:ascii="Wingdings" w:hAnsi="Wingdings" w:hint="default"/>
      </w:rPr>
    </w:lvl>
    <w:lvl w:ilvl="3" w:tplc="4E989C6C" w:tentative="1">
      <w:start w:val="1"/>
      <w:numFmt w:val="bullet"/>
      <w:lvlText w:val=""/>
      <w:lvlJc w:val="left"/>
      <w:pPr>
        <w:ind w:left="2880" w:hanging="360"/>
      </w:pPr>
      <w:rPr>
        <w:rFonts w:ascii="Symbol" w:hAnsi="Symbol" w:hint="default"/>
      </w:rPr>
    </w:lvl>
    <w:lvl w:ilvl="4" w:tplc="83306162" w:tentative="1">
      <w:start w:val="1"/>
      <w:numFmt w:val="bullet"/>
      <w:lvlText w:val="o"/>
      <w:lvlJc w:val="left"/>
      <w:pPr>
        <w:ind w:left="3600" w:hanging="360"/>
      </w:pPr>
      <w:rPr>
        <w:rFonts w:ascii="Courier New" w:hAnsi="Courier New" w:cs="Courier New" w:hint="default"/>
      </w:rPr>
    </w:lvl>
    <w:lvl w:ilvl="5" w:tplc="6C50ABB4" w:tentative="1">
      <w:start w:val="1"/>
      <w:numFmt w:val="bullet"/>
      <w:lvlText w:val=""/>
      <w:lvlJc w:val="left"/>
      <w:pPr>
        <w:ind w:left="4320" w:hanging="360"/>
      </w:pPr>
      <w:rPr>
        <w:rFonts w:ascii="Wingdings" w:hAnsi="Wingdings" w:hint="default"/>
      </w:rPr>
    </w:lvl>
    <w:lvl w:ilvl="6" w:tplc="A87C0AD2" w:tentative="1">
      <w:start w:val="1"/>
      <w:numFmt w:val="bullet"/>
      <w:lvlText w:val=""/>
      <w:lvlJc w:val="left"/>
      <w:pPr>
        <w:ind w:left="5040" w:hanging="360"/>
      </w:pPr>
      <w:rPr>
        <w:rFonts w:ascii="Symbol" w:hAnsi="Symbol" w:hint="default"/>
      </w:rPr>
    </w:lvl>
    <w:lvl w:ilvl="7" w:tplc="7FFC543C" w:tentative="1">
      <w:start w:val="1"/>
      <w:numFmt w:val="bullet"/>
      <w:lvlText w:val="o"/>
      <w:lvlJc w:val="left"/>
      <w:pPr>
        <w:ind w:left="5760" w:hanging="360"/>
      </w:pPr>
      <w:rPr>
        <w:rFonts w:ascii="Courier New" w:hAnsi="Courier New" w:cs="Courier New" w:hint="default"/>
      </w:rPr>
    </w:lvl>
    <w:lvl w:ilvl="8" w:tplc="D2AA4120" w:tentative="1">
      <w:start w:val="1"/>
      <w:numFmt w:val="bullet"/>
      <w:lvlText w:val=""/>
      <w:lvlJc w:val="left"/>
      <w:pPr>
        <w:ind w:left="6480" w:hanging="360"/>
      </w:pPr>
      <w:rPr>
        <w:rFonts w:ascii="Wingdings" w:hAnsi="Wingdings" w:hint="default"/>
      </w:rPr>
    </w:lvl>
  </w:abstractNum>
  <w:abstractNum w:abstractNumId="4" w15:restartNumberingAfterBreak="0">
    <w:nsid w:val="2F1E56A0"/>
    <w:multiLevelType w:val="hybridMultilevel"/>
    <w:tmpl w:val="003C4C96"/>
    <w:lvl w:ilvl="0" w:tplc="A33016EC">
      <w:start w:val="41"/>
      <w:numFmt w:val="bullet"/>
      <w:lvlText w:val="•"/>
      <w:lvlJc w:val="left"/>
      <w:pPr>
        <w:ind w:left="708" w:hanging="708"/>
      </w:pPr>
      <w:rPr>
        <w:rFonts w:ascii="Calibri" w:eastAsia="Times New Roman" w:hAnsi="Calibri" w:cs="Calibri" w:hint="default"/>
      </w:rPr>
    </w:lvl>
    <w:lvl w:ilvl="1" w:tplc="DB48ED22" w:tentative="1">
      <w:start w:val="1"/>
      <w:numFmt w:val="bullet"/>
      <w:lvlText w:val="o"/>
      <w:lvlJc w:val="left"/>
      <w:pPr>
        <w:ind w:left="1080" w:hanging="360"/>
      </w:pPr>
      <w:rPr>
        <w:rFonts w:ascii="Courier New" w:hAnsi="Courier New" w:cs="Courier New" w:hint="default"/>
      </w:rPr>
    </w:lvl>
    <w:lvl w:ilvl="2" w:tplc="E77E5342" w:tentative="1">
      <w:start w:val="1"/>
      <w:numFmt w:val="bullet"/>
      <w:lvlText w:val=""/>
      <w:lvlJc w:val="left"/>
      <w:pPr>
        <w:ind w:left="1800" w:hanging="360"/>
      </w:pPr>
      <w:rPr>
        <w:rFonts w:ascii="Wingdings" w:hAnsi="Wingdings" w:hint="default"/>
      </w:rPr>
    </w:lvl>
    <w:lvl w:ilvl="3" w:tplc="64F44430" w:tentative="1">
      <w:start w:val="1"/>
      <w:numFmt w:val="bullet"/>
      <w:lvlText w:val=""/>
      <w:lvlJc w:val="left"/>
      <w:pPr>
        <w:ind w:left="2520" w:hanging="360"/>
      </w:pPr>
      <w:rPr>
        <w:rFonts w:ascii="Symbol" w:hAnsi="Symbol" w:hint="default"/>
      </w:rPr>
    </w:lvl>
    <w:lvl w:ilvl="4" w:tplc="615803EA" w:tentative="1">
      <w:start w:val="1"/>
      <w:numFmt w:val="bullet"/>
      <w:lvlText w:val="o"/>
      <w:lvlJc w:val="left"/>
      <w:pPr>
        <w:ind w:left="3240" w:hanging="360"/>
      </w:pPr>
      <w:rPr>
        <w:rFonts w:ascii="Courier New" w:hAnsi="Courier New" w:cs="Courier New" w:hint="default"/>
      </w:rPr>
    </w:lvl>
    <w:lvl w:ilvl="5" w:tplc="7E086ED0" w:tentative="1">
      <w:start w:val="1"/>
      <w:numFmt w:val="bullet"/>
      <w:lvlText w:val=""/>
      <w:lvlJc w:val="left"/>
      <w:pPr>
        <w:ind w:left="3960" w:hanging="360"/>
      </w:pPr>
      <w:rPr>
        <w:rFonts w:ascii="Wingdings" w:hAnsi="Wingdings" w:hint="default"/>
      </w:rPr>
    </w:lvl>
    <w:lvl w:ilvl="6" w:tplc="B85E9360" w:tentative="1">
      <w:start w:val="1"/>
      <w:numFmt w:val="bullet"/>
      <w:lvlText w:val=""/>
      <w:lvlJc w:val="left"/>
      <w:pPr>
        <w:ind w:left="4680" w:hanging="360"/>
      </w:pPr>
      <w:rPr>
        <w:rFonts w:ascii="Symbol" w:hAnsi="Symbol" w:hint="default"/>
      </w:rPr>
    </w:lvl>
    <w:lvl w:ilvl="7" w:tplc="2F624492" w:tentative="1">
      <w:start w:val="1"/>
      <w:numFmt w:val="bullet"/>
      <w:lvlText w:val="o"/>
      <w:lvlJc w:val="left"/>
      <w:pPr>
        <w:ind w:left="5400" w:hanging="360"/>
      </w:pPr>
      <w:rPr>
        <w:rFonts w:ascii="Courier New" w:hAnsi="Courier New" w:cs="Courier New" w:hint="default"/>
      </w:rPr>
    </w:lvl>
    <w:lvl w:ilvl="8" w:tplc="268E586A" w:tentative="1">
      <w:start w:val="1"/>
      <w:numFmt w:val="bullet"/>
      <w:lvlText w:val=""/>
      <w:lvlJc w:val="left"/>
      <w:pPr>
        <w:ind w:left="6120" w:hanging="360"/>
      </w:pPr>
      <w:rPr>
        <w:rFonts w:ascii="Wingdings" w:hAnsi="Wingdings" w:hint="default"/>
      </w:rPr>
    </w:lvl>
  </w:abstractNum>
  <w:abstractNum w:abstractNumId="5" w15:restartNumberingAfterBreak="0">
    <w:nsid w:val="30F32212"/>
    <w:multiLevelType w:val="hybridMultilevel"/>
    <w:tmpl w:val="9516F89E"/>
    <w:lvl w:ilvl="0" w:tplc="68CA829A">
      <w:start w:val="1"/>
      <w:numFmt w:val="bullet"/>
      <w:lvlText w:val=""/>
      <w:lvlJc w:val="left"/>
      <w:pPr>
        <w:ind w:left="720" w:hanging="360"/>
      </w:pPr>
      <w:rPr>
        <w:rFonts w:ascii="Symbol" w:hAnsi="Symbol" w:hint="default"/>
      </w:rPr>
    </w:lvl>
    <w:lvl w:ilvl="1" w:tplc="D3305C82" w:tentative="1">
      <w:start w:val="1"/>
      <w:numFmt w:val="bullet"/>
      <w:lvlText w:val="o"/>
      <w:lvlJc w:val="left"/>
      <w:pPr>
        <w:ind w:left="1440" w:hanging="360"/>
      </w:pPr>
      <w:rPr>
        <w:rFonts w:ascii="Courier New" w:hAnsi="Courier New" w:cs="Courier New" w:hint="default"/>
      </w:rPr>
    </w:lvl>
    <w:lvl w:ilvl="2" w:tplc="4F4A6426" w:tentative="1">
      <w:start w:val="1"/>
      <w:numFmt w:val="bullet"/>
      <w:lvlText w:val=""/>
      <w:lvlJc w:val="left"/>
      <w:pPr>
        <w:ind w:left="2160" w:hanging="360"/>
      </w:pPr>
      <w:rPr>
        <w:rFonts w:ascii="Wingdings" w:hAnsi="Wingdings" w:hint="default"/>
      </w:rPr>
    </w:lvl>
    <w:lvl w:ilvl="3" w:tplc="61D80CE8" w:tentative="1">
      <w:start w:val="1"/>
      <w:numFmt w:val="bullet"/>
      <w:lvlText w:val=""/>
      <w:lvlJc w:val="left"/>
      <w:pPr>
        <w:ind w:left="2880" w:hanging="360"/>
      </w:pPr>
      <w:rPr>
        <w:rFonts w:ascii="Symbol" w:hAnsi="Symbol" w:hint="default"/>
      </w:rPr>
    </w:lvl>
    <w:lvl w:ilvl="4" w:tplc="7A6CE6B8" w:tentative="1">
      <w:start w:val="1"/>
      <w:numFmt w:val="bullet"/>
      <w:lvlText w:val="o"/>
      <w:lvlJc w:val="left"/>
      <w:pPr>
        <w:ind w:left="3600" w:hanging="360"/>
      </w:pPr>
      <w:rPr>
        <w:rFonts w:ascii="Courier New" w:hAnsi="Courier New" w:cs="Courier New" w:hint="default"/>
      </w:rPr>
    </w:lvl>
    <w:lvl w:ilvl="5" w:tplc="9C68E268" w:tentative="1">
      <w:start w:val="1"/>
      <w:numFmt w:val="bullet"/>
      <w:lvlText w:val=""/>
      <w:lvlJc w:val="left"/>
      <w:pPr>
        <w:ind w:left="4320" w:hanging="360"/>
      </w:pPr>
      <w:rPr>
        <w:rFonts w:ascii="Wingdings" w:hAnsi="Wingdings" w:hint="default"/>
      </w:rPr>
    </w:lvl>
    <w:lvl w:ilvl="6" w:tplc="5A503586" w:tentative="1">
      <w:start w:val="1"/>
      <w:numFmt w:val="bullet"/>
      <w:lvlText w:val=""/>
      <w:lvlJc w:val="left"/>
      <w:pPr>
        <w:ind w:left="5040" w:hanging="360"/>
      </w:pPr>
      <w:rPr>
        <w:rFonts w:ascii="Symbol" w:hAnsi="Symbol" w:hint="default"/>
      </w:rPr>
    </w:lvl>
    <w:lvl w:ilvl="7" w:tplc="D28CC28A" w:tentative="1">
      <w:start w:val="1"/>
      <w:numFmt w:val="bullet"/>
      <w:lvlText w:val="o"/>
      <w:lvlJc w:val="left"/>
      <w:pPr>
        <w:ind w:left="5760" w:hanging="360"/>
      </w:pPr>
      <w:rPr>
        <w:rFonts w:ascii="Courier New" w:hAnsi="Courier New" w:cs="Courier New" w:hint="default"/>
      </w:rPr>
    </w:lvl>
    <w:lvl w:ilvl="8" w:tplc="AFB43294" w:tentative="1">
      <w:start w:val="1"/>
      <w:numFmt w:val="bullet"/>
      <w:lvlText w:val=""/>
      <w:lvlJc w:val="left"/>
      <w:pPr>
        <w:ind w:left="6480" w:hanging="360"/>
      </w:pPr>
      <w:rPr>
        <w:rFonts w:ascii="Wingdings" w:hAnsi="Wingdings" w:hint="default"/>
      </w:rPr>
    </w:lvl>
  </w:abstractNum>
  <w:abstractNum w:abstractNumId="6" w15:restartNumberingAfterBreak="0">
    <w:nsid w:val="3C287CBF"/>
    <w:multiLevelType w:val="hybridMultilevel"/>
    <w:tmpl w:val="04023B1A"/>
    <w:lvl w:ilvl="0" w:tplc="CB54F1BC">
      <w:start w:val="1"/>
      <w:numFmt w:val="decimal"/>
      <w:lvlText w:val="(%1)"/>
      <w:lvlJc w:val="left"/>
      <w:pPr>
        <w:ind w:left="720" w:hanging="360"/>
      </w:pPr>
      <w:rPr>
        <w:rFonts w:hint="default"/>
      </w:rPr>
    </w:lvl>
    <w:lvl w:ilvl="1" w:tplc="78527B74" w:tentative="1">
      <w:start w:val="1"/>
      <w:numFmt w:val="lowerLetter"/>
      <w:lvlText w:val="%2."/>
      <w:lvlJc w:val="left"/>
      <w:pPr>
        <w:ind w:left="1440" w:hanging="360"/>
      </w:pPr>
    </w:lvl>
    <w:lvl w:ilvl="2" w:tplc="B6CC3462" w:tentative="1">
      <w:start w:val="1"/>
      <w:numFmt w:val="lowerRoman"/>
      <w:lvlText w:val="%3."/>
      <w:lvlJc w:val="right"/>
      <w:pPr>
        <w:ind w:left="2160" w:hanging="180"/>
      </w:pPr>
    </w:lvl>
    <w:lvl w:ilvl="3" w:tplc="15D26994" w:tentative="1">
      <w:start w:val="1"/>
      <w:numFmt w:val="decimal"/>
      <w:lvlText w:val="%4."/>
      <w:lvlJc w:val="left"/>
      <w:pPr>
        <w:ind w:left="2880" w:hanging="360"/>
      </w:pPr>
    </w:lvl>
    <w:lvl w:ilvl="4" w:tplc="D798A2D4" w:tentative="1">
      <w:start w:val="1"/>
      <w:numFmt w:val="lowerLetter"/>
      <w:lvlText w:val="%5."/>
      <w:lvlJc w:val="left"/>
      <w:pPr>
        <w:ind w:left="3600" w:hanging="360"/>
      </w:pPr>
    </w:lvl>
    <w:lvl w:ilvl="5" w:tplc="0FFA3C28" w:tentative="1">
      <w:start w:val="1"/>
      <w:numFmt w:val="lowerRoman"/>
      <w:lvlText w:val="%6."/>
      <w:lvlJc w:val="right"/>
      <w:pPr>
        <w:ind w:left="4320" w:hanging="180"/>
      </w:pPr>
    </w:lvl>
    <w:lvl w:ilvl="6" w:tplc="53680FF0" w:tentative="1">
      <w:start w:val="1"/>
      <w:numFmt w:val="decimal"/>
      <w:lvlText w:val="%7."/>
      <w:lvlJc w:val="left"/>
      <w:pPr>
        <w:ind w:left="5040" w:hanging="360"/>
      </w:pPr>
    </w:lvl>
    <w:lvl w:ilvl="7" w:tplc="C9A07500" w:tentative="1">
      <w:start w:val="1"/>
      <w:numFmt w:val="lowerLetter"/>
      <w:lvlText w:val="%8."/>
      <w:lvlJc w:val="left"/>
      <w:pPr>
        <w:ind w:left="5760" w:hanging="360"/>
      </w:pPr>
    </w:lvl>
    <w:lvl w:ilvl="8" w:tplc="122A1612" w:tentative="1">
      <w:start w:val="1"/>
      <w:numFmt w:val="lowerRoman"/>
      <w:lvlText w:val="%9."/>
      <w:lvlJc w:val="right"/>
      <w:pPr>
        <w:ind w:left="6480" w:hanging="180"/>
      </w:pPr>
    </w:lvl>
  </w:abstractNum>
  <w:abstractNum w:abstractNumId="7" w15:restartNumberingAfterBreak="0">
    <w:nsid w:val="5893569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A9112A"/>
    <w:multiLevelType w:val="multilevel"/>
    <w:tmpl w:val="DAB840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itre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D905DA"/>
    <w:multiLevelType w:val="multilevel"/>
    <w:tmpl w:val="0F44242C"/>
    <w:lvl w:ilvl="0">
      <w:start w:val="2"/>
      <w:numFmt w:val="decimal"/>
      <w:lvlText w:val="%1."/>
      <w:lvlJc w:val="left"/>
      <w:pPr>
        <w:ind w:left="360" w:hanging="360"/>
      </w:pPr>
      <w:rPr>
        <w:rFonts w:hint="default"/>
      </w:rPr>
    </w:lvl>
    <w:lvl w:ilvl="1">
      <w:start w:val="1"/>
      <w:numFmt w:val="decimal"/>
      <w:pStyle w:val="Titre2"/>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CE2B5E"/>
    <w:multiLevelType w:val="hybridMultilevel"/>
    <w:tmpl w:val="4192D48E"/>
    <w:lvl w:ilvl="0" w:tplc="49326A70">
      <w:start w:val="1"/>
      <w:numFmt w:val="decimal"/>
      <w:lvlText w:val="%1."/>
      <w:lvlJc w:val="left"/>
      <w:pPr>
        <w:ind w:left="720" w:hanging="360"/>
      </w:pPr>
    </w:lvl>
    <w:lvl w:ilvl="1" w:tplc="E5A801C6">
      <w:start w:val="1"/>
      <w:numFmt w:val="lowerLetter"/>
      <w:lvlText w:val="%2."/>
      <w:lvlJc w:val="left"/>
      <w:pPr>
        <w:ind w:left="1440" w:hanging="360"/>
      </w:pPr>
    </w:lvl>
    <w:lvl w:ilvl="2" w:tplc="87983750">
      <w:start w:val="1"/>
      <w:numFmt w:val="lowerRoman"/>
      <w:lvlText w:val="%3."/>
      <w:lvlJc w:val="right"/>
      <w:pPr>
        <w:ind w:left="2160" w:hanging="180"/>
      </w:pPr>
    </w:lvl>
    <w:lvl w:ilvl="3" w:tplc="4234323A">
      <w:start w:val="1"/>
      <w:numFmt w:val="decimal"/>
      <w:lvlText w:val="%4."/>
      <w:lvlJc w:val="left"/>
      <w:pPr>
        <w:ind w:left="2880" w:hanging="360"/>
      </w:pPr>
    </w:lvl>
    <w:lvl w:ilvl="4" w:tplc="3CB2C95E">
      <w:start w:val="1"/>
      <w:numFmt w:val="lowerLetter"/>
      <w:lvlText w:val="%5."/>
      <w:lvlJc w:val="left"/>
      <w:pPr>
        <w:ind w:left="3600" w:hanging="360"/>
      </w:pPr>
    </w:lvl>
    <w:lvl w:ilvl="5" w:tplc="CD7C9502">
      <w:start w:val="1"/>
      <w:numFmt w:val="lowerRoman"/>
      <w:lvlText w:val="%6."/>
      <w:lvlJc w:val="right"/>
      <w:pPr>
        <w:ind w:left="4320" w:hanging="180"/>
      </w:pPr>
    </w:lvl>
    <w:lvl w:ilvl="6" w:tplc="E834977A">
      <w:start w:val="1"/>
      <w:numFmt w:val="decimal"/>
      <w:lvlText w:val="%7."/>
      <w:lvlJc w:val="left"/>
      <w:pPr>
        <w:ind w:left="5040" w:hanging="360"/>
      </w:pPr>
    </w:lvl>
    <w:lvl w:ilvl="7" w:tplc="D130B9CC">
      <w:start w:val="1"/>
      <w:numFmt w:val="lowerLetter"/>
      <w:lvlText w:val="%8."/>
      <w:lvlJc w:val="left"/>
      <w:pPr>
        <w:ind w:left="5760" w:hanging="360"/>
      </w:pPr>
    </w:lvl>
    <w:lvl w:ilvl="8" w:tplc="4FD061B6">
      <w:start w:val="1"/>
      <w:numFmt w:val="lowerRoman"/>
      <w:lvlText w:val="%9."/>
      <w:lvlJc w:val="right"/>
      <w:pPr>
        <w:ind w:left="6480" w:hanging="180"/>
      </w:pPr>
    </w:lvl>
  </w:abstractNum>
  <w:abstractNum w:abstractNumId="11" w15:restartNumberingAfterBreak="0">
    <w:nsid w:val="7F6E748A"/>
    <w:multiLevelType w:val="multilevel"/>
    <w:tmpl w:val="95CE74E6"/>
    <w:lvl w:ilvl="0">
      <w:start w:val="1"/>
      <w:numFmt w:val="decimal"/>
      <w:pStyle w:val="Tit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4"/>
  </w:num>
  <w:num w:numId="3">
    <w:abstractNumId w:val="4"/>
  </w:num>
  <w:num w:numId="4">
    <w:abstractNumId w:val="0"/>
  </w:num>
  <w:num w:numId="5">
    <w:abstractNumId w:val="3"/>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1"/>
  </w:num>
  <w:num w:numId="11">
    <w:abstractNumId w:val="7"/>
  </w:num>
  <w:num w:numId="12">
    <w:abstractNumId w:val="9"/>
  </w:num>
  <w:num w:numId="13">
    <w:abstractNumId w:val="8"/>
  </w:num>
  <w:num w:numId="14">
    <w:abstractNumId w:val="6"/>
  </w:num>
  <w:num w:numId="1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393"/>
    <w:rsid w:val="000013E5"/>
    <w:rsid w:val="00001C61"/>
    <w:rsid w:val="0000540B"/>
    <w:rsid w:val="00011963"/>
    <w:rsid w:val="0001439E"/>
    <w:rsid w:val="00015BDD"/>
    <w:rsid w:val="00015EBF"/>
    <w:rsid w:val="00017478"/>
    <w:rsid w:val="0002049C"/>
    <w:rsid w:val="00021D8B"/>
    <w:rsid w:val="000258E1"/>
    <w:rsid w:val="00030D56"/>
    <w:rsid w:val="0003341F"/>
    <w:rsid w:val="000336F1"/>
    <w:rsid w:val="000363C4"/>
    <w:rsid w:val="00037BF8"/>
    <w:rsid w:val="00042A84"/>
    <w:rsid w:val="0004494A"/>
    <w:rsid w:val="00052134"/>
    <w:rsid w:val="00052638"/>
    <w:rsid w:val="00053370"/>
    <w:rsid w:val="0006086F"/>
    <w:rsid w:val="00060DB3"/>
    <w:rsid w:val="00061253"/>
    <w:rsid w:val="0006161B"/>
    <w:rsid w:val="00061AD7"/>
    <w:rsid w:val="000642A0"/>
    <w:rsid w:val="00072433"/>
    <w:rsid w:val="00072CF2"/>
    <w:rsid w:val="00073FD7"/>
    <w:rsid w:val="000771B6"/>
    <w:rsid w:val="00080587"/>
    <w:rsid w:val="00080DF7"/>
    <w:rsid w:val="00080E12"/>
    <w:rsid w:val="00083276"/>
    <w:rsid w:val="00083310"/>
    <w:rsid w:val="00083470"/>
    <w:rsid w:val="00085E16"/>
    <w:rsid w:val="000874CD"/>
    <w:rsid w:val="000931A1"/>
    <w:rsid w:val="000A0517"/>
    <w:rsid w:val="000A0623"/>
    <w:rsid w:val="000A0A18"/>
    <w:rsid w:val="000A0A2A"/>
    <w:rsid w:val="000A2101"/>
    <w:rsid w:val="000A2408"/>
    <w:rsid w:val="000A2644"/>
    <w:rsid w:val="000A508E"/>
    <w:rsid w:val="000A6BDF"/>
    <w:rsid w:val="000B3983"/>
    <w:rsid w:val="000B3EC2"/>
    <w:rsid w:val="000B61D8"/>
    <w:rsid w:val="000B777F"/>
    <w:rsid w:val="000B7823"/>
    <w:rsid w:val="000C09A6"/>
    <w:rsid w:val="000C1007"/>
    <w:rsid w:val="000C1F97"/>
    <w:rsid w:val="000C70FF"/>
    <w:rsid w:val="000D4FB0"/>
    <w:rsid w:val="000D5E0D"/>
    <w:rsid w:val="000D6115"/>
    <w:rsid w:val="000D7AEF"/>
    <w:rsid w:val="000E386A"/>
    <w:rsid w:val="000E3D64"/>
    <w:rsid w:val="000E4413"/>
    <w:rsid w:val="000E4FB7"/>
    <w:rsid w:val="000E5E17"/>
    <w:rsid w:val="000E7034"/>
    <w:rsid w:val="000E71E3"/>
    <w:rsid w:val="000F1650"/>
    <w:rsid w:val="000F26FF"/>
    <w:rsid w:val="000F2B37"/>
    <w:rsid w:val="00101E52"/>
    <w:rsid w:val="0010259D"/>
    <w:rsid w:val="0010321A"/>
    <w:rsid w:val="00103A8E"/>
    <w:rsid w:val="001055BA"/>
    <w:rsid w:val="00106A7D"/>
    <w:rsid w:val="00106C38"/>
    <w:rsid w:val="00110E5A"/>
    <w:rsid w:val="00110F64"/>
    <w:rsid w:val="00113FE0"/>
    <w:rsid w:val="00117616"/>
    <w:rsid w:val="001208B6"/>
    <w:rsid w:val="00121858"/>
    <w:rsid w:val="0012582B"/>
    <w:rsid w:val="0012599D"/>
    <w:rsid w:val="00125F46"/>
    <w:rsid w:val="001308D7"/>
    <w:rsid w:val="001316C6"/>
    <w:rsid w:val="00131840"/>
    <w:rsid w:val="001336ED"/>
    <w:rsid w:val="00134427"/>
    <w:rsid w:val="00135691"/>
    <w:rsid w:val="00135CFA"/>
    <w:rsid w:val="00136DE1"/>
    <w:rsid w:val="001377DB"/>
    <w:rsid w:val="001402FC"/>
    <w:rsid w:val="001418D4"/>
    <w:rsid w:val="0014340C"/>
    <w:rsid w:val="00144CF7"/>
    <w:rsid w:val="00145371"/>
    <w:rsid w:val="00147AB4"/>
    <w:rsid w:val="00150804"/>
    <w:rsid w:val="00150A90"/>
    <w:rsid w:val="00151734"/>
    <w:rsid w:val="001527B8"/>
    <w:rsid w:val="00153968"/>
    <w:rsid w:val="00155278"/>
    <w:rsid w:val="001552A3"/>
    <w:rsid w:val="00157690"/>
    <w:rsid w:val="00160283"/>
    <w:rsid w:val="0016126E"/>
    <w:rsid w:val="00170188"/>
    <w:rsid w:val="001751DB"/>
    <w:rsid w:val="001814CD"/>
    <w:rsid w:val="00184D47"/>
    <w:rsid w:val="0018672B"/>
    <w:rsid w:val="00190057"/>
    <w:rsid w:val="001925B0"/>
    <w:rsid w:val="00192E5F"/>
    <w:rsid w:val="0019334F"/>
    <w:rsid w:val="0019353A"/>
    <w:rsid w:val="00193A68"/>
    <w:rsid w:val="00193DFD"/>
    <w:rsid w:val="001943EE"/>
    <w:rsid w:val="00195A63"/>
    <w:rsid w:val="001A1016"/>
    <w:rsid w:val="001A21B9"/>
    <w:rsid w:val="001A230E"/>
    <w:rsid w:val="001A367F"/>
    <w:rsid w:val="001A4FB5"/>
    <w:rsid w:val="001A6773"/>
    <w:rsid w:val="001B05E8"/>
    <w:rsid w:val="001B285C"/>
    <w:rsid w:val="001B41B3"/>
    <w:rsid w:val="001B5809"/>
    <w:rsid w:val="001C4A70"/>
    <w:rsid w:val="001C640B"/>
    <w:rsid w:val="001C6FDD"/>
    <w:rsid w:val="001C7387"/>
    <w:rsid w:val="001D0917"/>
    <w:rsid w:val="001D0C74"/>
    <w:rsid w:val="001D1DC7"/>
    <w:rsid w:val="001D31F9"/>
    <w:rsid w:val="001D42D1"/>
    <w:rsid w:val="001D5DC2"/>
    <w:rsid w:val="001E1529"/>
    <w:rsid w:val="001E2622"/>
    <w:rsid w:val="001E4179"/>
    <w:rsid w:val="001E6766"/>
    <w:rsid w:val="001E7FA5"/>
    <w:rsid w:val="001F199E"/>
    <w:rsid w:val="001F43B8"/>
    <w:rsid w:val="001F4AD2"/>
    <w:rsid w:val="00202F2F"/>
    <w:rsid w:val="002078FC"/>
    <w:rsid w:val="0021154F"/>
    <w:rsid w:val="00211A82"/>
    <w:rsid w:val="00211E51"/>
    <w:rsid w:val="002133CD"/>
    <w:rsid w:val="00213601"/>
    <w:rsid w:val="00214C5D"/>
    <w:rsid w:val="00217884"/>
    <w:rsid w:val="00220926"/>
    <w:rsid w:val="0022159F"/>
    <w:rsid w:val="00222366"/>
    <w:rsid w:val="002247B2"/>
    <w:rsid w:val="00224D48"/>
    <w:rsid w:val="00225A17"/>
    <w:rsid w:val="00227A22"/>
    <w:rsid w:val="002331B1"/>
    <w:rsid w:val="00234872"/>
    <w:rsid w:val="00235CF4"/>
    <w:rsid w:val="00237AC4"/>
    <w:rsid w:val="002402FD"/>
    <w:rsid w:val="00240C8B"/>
    <w:rsid w:val="00241F6E"/>
    <w:rsid w:val="00242A3D"/>
    <w:rsid w:val="00243484"/>
    <w:rsid w:val="00244CA2"/>
    <w:rsid w:val="00247786"/>
    <w:rsid w:val="0025177E"/>
    <w:rsid w:val="0025357F"/>
    <w:rsid w:val="00253868"/>
    <w:rsid w:val="00253991"/>
    <w:rsid w:val="00255C3E"/>
    <w:rsid w:val="00260053"/>
    <w:rsid w:val="00262B50"/>
    <w:rsid w:val="00262BE7"/>
    <w:rsid w:val="002641E8"/>
    <w:rsid w:val="0027198E"/>
    <w:rsid w:val="002733B1"/>
    <w:rsid w:val="00275DAC"/>
    <w:rsid w:val="00276BAF"/>
    <w:rsid w:val="00277A6D"/>
    <w:rsid w:val="00281100"/>
    <w:rsid w:val="002811F1"/>
    <w:rsid w:val="002816C2"/>
    <w:rsid w:val="00281E6A"/>
    <w:rsid w:val="002867E8"/>
    <w:rsid w:val="002872B1"/>
    <w:rsid w:val="00290955"/>
    <w:rsid w:val="00290D8A"/>
    <w:rsid w:val="00296788"/>
    <w:rsid w:val="002A14A3"/>
    <w:rsid w:val="002A4E41"/>
    <w:rsid w:val="002A53B4"/>
    <w:rsid w:val="002A6A63"/>
    <w:rsid w:val="002B06DF"/>
    <w:rsid w:val="002B3729"/>
    <w:rsid w:val="002B4AD8"/>
    <w:rsid w:val="002C3328"/>
    <w:rsid w:val="002C5618"/>
    <w:rsid w:val="002C681A"/>
    <w:rsid w:val="002C785F"/>
    <w:rsid w:val="002D0D04"/>
    <w:rsid w:val="002D1640"/>
    <w:rsid w:val="002D17AB"/>
    <w:rsid w:val="002D4B6B"/>
    <w:rsid w:val="002D5ABB"/>
    <w:rsid w:val="002D6F3B"/>
    <w:rsid w:val="002E1CEE"/>
    <w:rsid w:val="002E3762"/>
    <w:rsid w:val="002E4D0B"/>
    <w:rsid w:val="002E6439"/>
    <w:rsid w:val="002F3A06"/>
    <w:rsid w:val="002F4403"/>
    <w:rsid w:val="002F4CB7"/>
    <w:rsid w:val="002F4E70"/>
    <w:rsid w:val="002F552E"/>
    <w:rsid w:val="002F5F44"/>
    <w:rsid w:val="003004FE"/>
    <w:rsid w:val="003017D3"/>
    <w:rsid w:val="00301C23"/>
    <w:rsid w:val="003025EA"/>
    <w:rsid w:val="0030390E"/>
    <w:rsid w:val="003044F9"/>
    <w:rsid w:val="0030559A"/>
    <w:rsid w:val="003065FD"/>
    <w:rsid w:val="003107DB"/>
    <w:rsid w:val="00311DE0"/>
    <w:rsid w:val="0031318D"/>
    <w:rsid w:val="00315C29"/>
    <w:rsid w:val="00316504"/>
    <w:rsid w:val="003167D7"/>
    <w:rsid w:val="003260E1"/>
    <w:rsid w:val="00333D76"/>
    <w:rsid w:val="0033458C"/>
    <w:rsid w:val="00334D3B"/>
    <w:rsid w:val="00337163"/>
    <w:rsid w:val="00340041"/>
    <w:rsid w:val="003449AA"/>
    <w:rsid w:val="00344D96"/>
    <w:rsid w:val="003457E2"/>
    <w:rsid w:val="00346BA6"/>
    <w:rsid w:val="0034712F"/>
    <w:rsid w:val="003474C8"/>
    <w:rsid w:val="00347B7C"/>
    <w:rsid w:val="00351025"/>
    <w:rsid w:val="00351167"/>
    <w:rsid w:val="00351417"/>
    <w:rsid w:val="00351D31"/>
    <w:rsid w:val="00353EA0"/>
    <w:rsid w:val="003571E0"/>
    <w:rsid w:val="00360B16"/>
    <w:rsid w:val="00361DE2"/>
    <w:rsid w:val="003622A9"/>
    <w:rsid w:val="00363671"/>
    <w:rsid w:val="00364504"/>
    <w:rsid w:val="00364DDC"/>
    <w:rsid w:val="00366E7C"/>
    <w:rsid w:val="00367E6E"/>
    <w:rsid w:val="0037288E"/>
    <w:rsid w:val="00373185"/>
    <w:rsid w:val="00375505"/>
    <w:rsid w:val="00376FD1"/>
    <w:rsid w:val="0037732C"/>
    <w:rsid w:val="00377C79"/>
    <w:rsid w:val="003802CD"/>
    <w:rsid w:val="00383400"/>
    <w:rsid w:val="00387689"/>
    <w:rsid w:val="0039184B"/>
    <w:rsid w:val="003928D4"/>
    <w:rsid w:val="00392DA8"/>
    <w:rsid w:val="003932F4"/>
    <w:rsid w:val="00393684"/>
    <w:rsid w:val="00393A6B"/>
    <w:rsid w:val="00394FD7"/>
    <w:rsid w:val="003965D5"/>
    <w:rsid w:val="003A2E7E"/>
    <w:rsid w:val="003A3F04"/>
    <w:rsid w:val="003A47B6"/>
    <w:rsid w:val="003A5038"/>
    <w:rsid w:val="003A588F"/>
    <w:rsid w:val="003A626F"/>
    <w:rsid w:val="003A6B0E"/>
    <w:rsid w:val="003B2A9D"/>
    <w:rsid w:val="003B537B"/>
    <w:rsid w:val="003B71F4"/>
    <w:rsid w:val="003B723C"/>
    <w:rsid w:val="003C0329"/>
    <w:rsid w:val="003C3A7A"/>
    <w:rsid w:val="003C60E0"/>
    <w:rsid w:val="003C7311"/>
    <w:rsid w:val="003C748A"/>
    <w:rsid w:val="003C75AF"/>
    <w:rsid w:val="003D1F21"/>
    <w:rsid w:val="003D2E99"/>
    <w:rsid w:val="003D305C"/>
    <w:rsid w:val="003D307C"/>
    <w:rsid w:val="003D41D6"/>
    <w:rsid w:val="003D6A29"/>
    <w:rsid w:val="003D6C6E"/>
    <w:rsid w:val="003D77E4"/>
    <w:rsid w:val="003E177D"/>
    <w:rsid w:val="003E35A9"/>
    <w:rsid w:val="003E58AC"/>
    <w:rsid w:val="003E6A05"/>
    <w:rsid w:val="003F0CAE"/>
    <w:rsid w:val="003F28F4"/>
    <w:rsid w:val="003F389A"/>
    <w:rsid w:val="003F3A18"/>
    <w:rsid w:val="003F3D95"/>
    <w:rsid w:val="003F5AE6"/>
    <w:rsid w:val="004031E2"/>
    <w:rsid w:val="00403F60"/>
    <w:rsid w:val="00403F89"/>
    <w:rsid w:val="0040650B"/>
    <w:rsid w:val="00407A57"/>
    <w:rsid w:val="004110B7"/>
    <w:rsid w:val="00412D56"/>
    <w:rsid w:val="0041503D"/>
    <w:rsid w:val="004163D4"/>
    <w:rsid w:val="004178EB"/>
    <w:rsid w:val="00421295"/>
    <w:rsid w:val="00422037"/>
    <w:rsid w:val="00425959"/>
    <w:rsid w:val="004352C6"/>
    <w:rsid w:val="0044210F"/>
    <w:rsid w:val="004443A1"/>
    <w:rsid w:val="004472CC"/>
    <w:rsid w:val="0044782F"/>
    <w:rsid w:val="00451E9A"/>
    <w:rsid w:val="00452DF2"/>
    <w:rsid w:val="00453871"/>
    <w:rsid w:val="00456F8E"/>
    <w:rsid w:val="00465D9D"/>
    <w:rsid w:val="00466709"/>
    <w:rsid w:val="004676A7"/>
    <w:rsid w:val="00470D55"/>
    <w:rsid w:val="00473931"/>
    <w:rsid w:val="00473A39"/>
    <w:rsid w:val="004753C2"/>
    <w:rsid w:val="0047575B"/>
    <w:rsid w:val="00476351"/>
    <w:rsid w:val="004802B3"/>
    <w:rsid w:val="00480997"/>
    <w:rsid w:val="004809BE"/>
    <w:rsid w:val="0048224B"/>
    <w:rsid w:val="00483ACF"/>
    <w:rsid w:val="00484CB2"/>
    <w:rsid w:val="004859CE"/>
    <w:rsid w:val="00492445"/>
    <w:rsid w:val="00494501"/>
    <w:rsid w:val="00496363"/>
    <w:rsid w:val="00496BB2"/>
    <w:rsid w:val="004975C5"/>
    <w:rsid w:val="004A1ED4"/>
    <w:rsid w:val="004A4DB6"/>
    <w:rsid w:val="004B0AB3"/>
    <w:rsid w:val="004B35B7"/>
    <w:rsid w:val="004B4576"/>
    <w:rsid w:val="004B5C89"/>
    <w:rsid w:val="004B66F9"/>
    <w:rsid w:val="004B6A89"/>
    <w:rsid w:val="004B7672"/>
    <w:rsid w:val="004C1FC7"/>
    <w:rsid w:val="004C2C06"/>
    <w:rsid w:val="004C4DFB"/>
    <w:rsid w:val="004C695E"/>
    <w:rsid w:val="004D0967"/>
    <w:rsid w:val="004D2B2C"/>
    <w:rsid w:val="004D5B43"/>
    <w:rsid w:val="004D6ABF"/>
    <w:rsid w:val="004D755C"/>
    <w:rsid w:val="004E0154"/>
    <w:rsid w:val="004E1674"/>
    <w:rsid w:val="004E2A11"/>
    <w:rsid w:val="004E2F18"/>
    <w:rsid w:val="004E3B98"/>
    <w:rsid w:val="004E4344"/>
    <w:rsid w:val="004E7197"/>
    <w:rsid w:val="004F030E"/>
    <w:rsid w:val="004F0453"/>
    <w:rsid w:val="004F04C5"/>
    <w:rsid w:val="004F06FB"/>
    <w:rsid w:val="004F5C4C"/>
    <w:rsid w:val="00502B32"/>
    <w:rsid w:val="00502C3C"/>
    <w:rsid w:val="00504202"/>
    <w:rsid w:val="005052BB"/>
    <w:rsid w:val="005061BD"/>
    <w:rsid w:val="0050641B"/>
    <w:rsid w:val="00507E76"/>
    <w:rsid w:val="00510687"/>
    <w:rsid w:val="005117AF"/>
    <w:rsid w:val="00512605"/>
    <w:rsid w:val="0051423A"/>
    <w:rsid w:val="00514DF3"/>
    <w:rsid w:val="005164EE"/>
    <w:rsid w:val="00516C89"/>
    <w:rsid w:val="00524B90"/>
    <w:rsid w:val="00525DE9"/>
    <w:rsid w:val="0052649B"/>
    <w:rsid w:val="00526B3A"/>
    <w:rsid w:val="00527A60"/>
    <w:rsid w:val="00531C67"/>
    <w:rsid w:val="00533151"/>
    <w:rsid w:val="00536AE7"/>
    <w:rsid w:val="0054174D"/>
    <w:rsid w:val="00542329"/>
    <w:rsid w:val="00542C5C"/>
    <w:rsid w:val="00542F48"/>
    <w:rsid w:val="00544719"/>
    <w:rsid w:val="00544DF0"/>
    <w:rsid w:val="00545117"/>
    <w:rsid w:val="005452F9"/>
    <w:rsid w:val="00546839"/>
    <w:rsid w:val="00546ED8"/>
    <w:rsid w:val="00547040"/>
    <w:rsid w:val="00547689"/>
    <w:rsid w:val="00547E8C"/>
    <w:rsid w:val="00553D8A"/>
    <w:rsid w:val="0055520C"/>
    <w:rsid w:val="00555F8B"/>
    <w:rsid w:val="00556575"/>
    <w:rsid w:val="00557D22"/>
    <w:rsid w:val="005603BA"/>
    <w:rsid w:val="00560856"/>
    <w:rsid w:val="005630D8"/>
    <w:rsid w:val="0056598A"/>
    <w:rsid w:val="00567207"/>
    <w:rsid w:val="00567226"/>
    <w:rsid w:val="005673B5"/>
    <w:rsid w:val="005678A2"/>
    <w:rsid w:val="00567E36"/>
    <w:rsid w:val="00570473"/>
    <w:rsid w:val="0057086A"/>
    <w:rsid w:val="00570CEE"/>
    <w:rsid w:val="005728F2"/>
    <w:rsid w:val="00573151"/>
    <w:rsid w:val="005734A6"/>
    <w:rsid w:val="00574E04"/>
    <w:rsid w:val="005768DF"/>
    <w:rsid w:val="00577CBD"/>
    <w:rsid w:val="005815A5"/>
    <w:rsid w:val="00581CD9"/>
    <w:rsid w:val="00581F35"/>
    <w:rsid w:val="00581FFD"/>
    <w:rsid w:val="00583158"/>
    <w:rsid w:val="00585711"/>
    <w:rsid w:val="00586033"/>
    <w:rsid w:val="00591560"/>
    <w:rsid w:val="00591B5B"/>
    <w:rsid w:val="0059210B"/>
    <w:rsid w:val="005934B2"/>
    <w:rsid w:val="00594C75"/>
    <w:rsid w:val="00597AE1"/>
    <w:rsid w:val="005A0841"/>
    <w:rsid w:val="005A2222"/>
    <w:rsid w:val="005A4BB6"/>
    <w:rsid w:val="005A57FF"/>
    <w:rsid w:val="005B1596"/>
    <w:rsid w:val="005B265C"/>
    <w:rsid w:val="005B2C2A"/>
    <w:rsid w:val="005B2D52"/>
    <w:rsid w:val="005B30A7"/>
    <w:rsid w:val="005B4538"/>
    <w:rsid w:val="005C0512"/>
    <w:rsid w:val="005C4A47"/>
    <w:rsid w:val="005C6851"/>
    <w:rsid w:val="005C7186"/>
    <w:rsid w:val="005D2551"/>
    <w:rsid w:val="005D2B6E"/>
    <w:rsid w:val="005D5629"/>
    <w:rsid w:val="005D6151"/>
    <w:rsid w:val="005D75A9"/>
    <w:rsid w:val="005E2F07"/>
    <w:rsid w:val="005E3B04"/>
    <w:rsid w:val="005E406B"/>
    <w:rsid w:val="005E4FCB"/>
    <w:rsid w:val="005E511D"/>
    <w:rsid w:val="005E6C62"/>
    <w:rsid w:val="005E7552"/>
    <w:rsid w:val="005F0722"/>
    <w:rsid w:val="005F0899"/>
    <w:rsid w:val="005F20C5"/>
    <w:rsid w:val="005F2DCD"/>
    <w:rsid w:val="005F36B0"/>
    <w:rsid w:val="006020E5"/>
    <w:rsid w:val="0060289C"/>
    <w:rsid w:val="00604D6C"/>
    <w:rsid w:val="0060609B"/>
    <w:rsid w:val="00607F26"/>
    <w:rsid w:val="00611264"/>
    <w:rsid w:val="00611682"/>
    <w:rsid w:val="00612132"/>
    <w:rsid w:val="00613A40"/>
    <w:rsid w:val="00615203"/>
    <w:rsid w:val="006167A4"/>
    <w:rsid w:val="00616A66"/>
    <w:rsid w:val="00617530"/>
    <w:rsid w:val="00617F80"/>
    <w:rsid w:val="00621C47"/>
    <w:rsid w:val="006221E7"/>
    <w:rsid w:val="0062363F"/>
    <w:rsid w:val="00625F7B"/>
    <w:rsid w:val="006264F1"/>
    <w:rsid w:val="00631AEF"/>
    <w:rsid w:val="00632FB5"/>
    <w:rsid w:val="0063314E"/>
    <w:rsid w:val="00633FDE"/>
    <w:rsid w:val="00634442"/>
    <w:rsid w:val="006350CA"/>
    <w:rsid w:val="00640E02"/>
    <w:rsid w:val="00642487"/>
    <w:rsid w:val="006424D2"/>
    <w:rsid w:val="00642E44"/>
    <w:rsid w:val="00644C6A"/>
    <w:rsid w:val="00645D72"/>
    <w:rsid w:val="0065026E"/>
    <w:rsid w:val="00653A71"/>
    <w:rsid w:val="00653B20"/>
    <w:rsid w:val="00654BC7"/>
    <w:rsid w:val="00655BCE"/>
    <w:rsid w:val="0065722D"/>
    <w:rsid w:val="00661332"/>
    <w:rsid w:val="0066185E"/>
    <w:rsid w:val="006663FB"/>
    <w:rsid w:val="0066679A"/>
    <w:rsid w:val="00666A66"/>
    <w:rsid w:val="00666C3C"/>
    <w:rsid w:val="00667BA4"/>
    <w:rsid w:val="00671E8A"/>
    <w:rsid w:val="00672221"/>
    <w:rsid w:val="006734C1"/>
    <w:rsid w:val="00673534"/>
    <w:rsid w:val="0067648F"/>
    <w:rsid w:val="006800CD"/>
    <w:rsid w:val="00680B45"/>
    <w:rsid w:val="00681373"/>
    <w:rsid w:val="00684393"/>
    <w:rsid w:val="00684F19"/>
    <w:rsid w:val="00685DE5"/>
    <w:rsid w:val="00686162"/>
    <w:rsid w:val="00686E37"/>
    <w:rsid w:val="00687DF5"/>
    <w:rsid w:val="00692BA7"/>
    <w:rsid w:val="00693E14"/>
    <w:rsid w:val="00695EB3"/>
    <w:rsid w:val="006A066C"/>
    <w:rsid w:val="006A127E"/>
    <w:rsid w:val="006A2FD7"/>
    <w:rsid w:val="006A4E12"/>
    <w:rsid w:val="006A547F"/>
    <w:rsid w:val="006A5A5E"/>
    <w:rsid w:val="006B73CD"/>
    <w:rsid w:val="006C10B7"/>
    <w:rsid w:val="006C1623"/>
    <w:rsid w:val="006C4033"/>
    <w:rsid w:val="006C49BF"/>
    <w:rsid w:val="006C507B"/>
    <w:rsid w:val="006C5C8F"/>
    <w:rsid w:val="006C5D83"/>
    <w:rsid w:val="006C75F7"/>
    <w:rsid w:val="006D052E"/>
    <w:rsid w:val="006D2F4E"/>
    <w:rsid w:val="006D6F96"/>
    <w:rsid w:val="006E016F"/>
    <w:rsid w:val="006E34A1"/>
    <w:rsid w:val="006E3C6C"/>
    <w:rsid w:val="006E59A3"/>
    <w:rsid w:val="006E5C1F"/>
    <w:rsid w:val="006E6222"/>
    <w:rsid w:val="006E6893"/>
    <w:rsid w:val="006F02A9"/>
    <w:rsid w:val="006F0B89"/>
    <w:rsid w:val="006F3888"/>
    <w:rsid w:val="007021A7"/>
    <w:rsid w:val="007054FE"/>
    <w:rsid w:val="00706F77"/>
    <w:rsid w:val="00710498"/>
    <w:rsid w:val="00710569"/>
    <w:rsid w:val="00715DCB"/>
    <w:rsid w:val="007169A3"/>
    <w:rsid w:val="00716EF6"/>
    <w:rsid w:val="007212FA"/>
    <w:rsid w:val="00722D3D"/>
    <w:rsid w:val="00723B99"/>
    <w:rsid w:val="007264C7"/>
    <w:rsid w:val="007279C6"/>
    <w:rsid w:val="00727AD2"/>
    <w:rsid w:val="00730320"/>
    <w:rsid w:val="00734501"/>
    <w:rsid w:val="007412A6"/>
    <w:rsid w:val="00745FBB"/>
    <w:rsid w:val="00746753"/>
    <w:rsid w:val="007467EC"/>
    <w:rsid w:val="007506D1"/>
    <w:rsid w:val="00752191"/>
    <w:rsid w:val="007542F6"/>
    <w:rsid w:val="007547E9"/>
    <w:rsid w:val="007547EC"/>
    <w:rsid w:val="007574C7"/>
    <w:rsid w:val="007578A6"/>
    <w:rsid w:val="00760B97"/>
    <w:rsid w:val="00761710"/>
    <w:rsid w:val="007617A1"/>
    <w:rsid w:val="00761B53"/>
    <w:rsid w:val="00763ACD"/>
    <w:rsid w:val="00763BF4"/>
    <w:rsid w:val="00764D1F"/>
    <w:rsid w:val="00764E5D"/>
    <w:rsid w:val="007671AF"/>
    <w:rsid w:val="00767763"/>
    <w:rsid w:val="00771C01"/>
    <w:rsid w:val="00773988"/>
    <w:rsid w:val="0077763A"/>
    <w:rsid w:val="00780296"/>
    <w:rsid w:val="00782520"/>
    <w:rsid w:val="0078341C"/>
    <w:rsid w:val="007870E7"/>
    <w:rsid w:val="007903DA"/>
    <w:rsid w:val="00790873"/>
    <w:rsid w:val="00790EBD"/>
    <w:rsid w:val="00791C85"/>
    <w:rsid w:val="00792DEF"/>
    <w:rsid w:val="00793D86"/>
    <w:rsid w:val="007941F0"/>
    <w:rsid w:val="00794D42"/>
    <w:rsid w:val="00794FC7"/>
    <w:rsid w:val="00795FD3"/>
    <w:rsid w:val="007965EB"/>
    <w:rsid w:val="00796E70"/>
    <w:rsid w:val="00796FE2"/>
    <w:rsid w:val="007A086B"/>
    <w:rsid w:val="007A3EE9"/>
    <w:rsid w:val="007A487F"/>
    <w:rsid w:val="007A4FFE"/>
    <w:rsid w:val="007A78FB"/>
    <w:rsid w:val="007B0A82"/>
    <w:rsid w:val="007B2317"/>
    <w:rsid w:val="007B2496"/>
    <w:rsid w:val="007B30C0"/>
    <w:rsid w:val="007B3822"/>
    <w:rsid w:val="007B38A8"/>
    <w:rsid w:val="007B38EB"/>
    <w:rsid w:val="007B39EA"/>
    <w:rsid w:val="007B4627"/>
    <w:rsid w:val="007B68C9"/>
    <w:rsid w:val="007B7325"/>
    <w:rsid w:val="007B76D5"/>
    <w:rsid w:val="007B7849"/>
    <w:rsid w:val="007C09AD"/>
    <w:rsid w:val="007C151D"/>
    <w:rsid w:val="007C2B89"/>
    <w:rsid w:val="007C3EE8"/>
    <w:rsid w:val="007C520C"/>
    <w:rsid w:val="007C631A"/>
    <w:rsid w:val="007C6BF5"/>
    <w:rsid w:val="007C759C"/>
    <w:rsid w:val="007D0CB8"/>
    <w:rsid w:val="007D30D5"/>
    <w:rsid w:val="007D326A"/>
    <w:rsid w:val="007D3B4E"/>
    <w:rsid w:val="007D40CC"/>
    <w:rsid w:val="007D4D20"/>
    <w:rsid w:val="007D4FD0"/>
    <w:rsid w:val="007D5F5F"/>
    <w:rsid w:val="007E00E4"/>
    <w:rsid w:val="007E21F5"/>
    <w:rsid w:val="007E3AE6"/>
    <w:rsid w:val="007E5E42"/>
    <w:rsid w:val="007E6F4A"/>
    <w:rsid w:val="007E6F94"/>
    <w:rsid w:val="007E7FA8"/>
    <w:rsid w:val="007E7FBA"/>
    <w:rsid w:val="007F039C"/>
    <w:rsid w:val="007F4302"/>
    <w:rsid w:val="007F4930"/>
    <w:rsid w:val="007F4D8A"/>
    <w:rsid w:val="007F581B"/>
    <w:rsid w:val="007F77E0"/>
    <w:rsid w:val="008008FB"/>
    <w:rsid w:val="0080133A"/>
    <w:rsid w:val="0080139A"/>
    <w:rsid w:val="00803CB9"/>
    <w:rsid w:val="008046AB"/>
    <w:rsid w:val="00805BBC"/>
    <w:rsid w:val="0080760D"/>
    <w:rsid w:val="00807E27"/>
    <w:rsid w:val="0081147B"/>
    <w:rsid w:val="008117EA"/>
    <w:rsid w:val="008118F9"/>
    <w:rsid w:val="00812074"/>
    <w:rsid w:val="008128BC"/>
    <w:rsid w:val="00812A3B"/>
    <w:rsid w:val="00812AF2"/>
    <w:rsid w:val="00812F6C"/>
    <w:rsid w:val="00813A7D"/>
    <w:rsid w:val="00815045"/>
    <w:rsid w:val="008161D4"/>
    <w:rsid w:val="008209CF"/>
    <w:rsid w:val="00821AF9"/>
    <w:rsid w:val="00822614"/>
    <w:rsid w:val="0082696E"/>
    <w:rsid w:val="00826B4C"/>
    <w:rsid w:val="008319AD"/>
    <w:rsid w:val="00831F0E"/>
    <w:rsid w:val="00833C83"/>
    <w:rsid w:val="00833DA3"/>
    <w:rsid w:val="008350BC"/>
    <w:rsid w:val="00835452"/>
    <w:rsid w:val="00841438"/>
    <w:rsid w:val="00841A71"/>
    <w:rsid w:val="00842DD4"/>
    <w:rsid w:val="0084350F"/>
    <w:rsid w:val="008464B8"/>
    <w:rsid w:val="00852C74"/>
    <w:rsid w:val="0085303B"/>
    <w:rsid w:val="00856952"/>
    <w:rsid w:val="00863CBA"/>
    <w:rsid w:val="00864B26"/>
    <w:rsid w:val="00865235"/>
    <w:rsid w:val="0087071A"/>
    <w:rsid w:val="00871EBC"/>
    <w:rsid w:val="00877D65"/>
    <w:rsid w:val="00881803"/>
    <w:rsid w:val="008820EE"/>
    <w:rsid w:val="00886718"/>
    <w:rsid w:val="00887244"/>
    <w:rsid w:val="00890952"/>
    <w:rsid w:val="00890BE5"/>
    <w:rsid w:val="00892FCC"/>
    <w:rsid w:val="00893734"/>
    <w:rsid w:val="00894574"/>
    <w:rsid w:val="00895776"/>
    <w:rsid w:val="008A07B4"/>
    <w:rsid w:val="008A0801"/>
    <w:rsid w:val="008A0B6F"/>
    <w:rsid w:val="008A1D01"/>
    <w:rsid w:val="008A2EAC"/>
    <w:rsid w:val="008A34B5"/>
    <w:rsid w:val="008A39AE"/>
    <w:rsid w:val="008A43E7"/>
    <w:rsid w:val="008B45C0"/>
    <w:rsid w:val="008B5152"/>
    <w:rsid w:val="008B7C25"/>
    <w:rsid w:val="008C02F7"/>
    <w:rsid w:val="008C225D"/>
    <w:rsid w:val="008C27B1"/>
    <w:rsid w:val="008C2BAE"/>
    <w:rsid w:val="008C3861"/>
    <w:rsid w:val="008C43FB"/>
    <w:rsid w:val="008C60BC"/>
    <w:rsid w:val="008C7F9F"/>
    <w:rsid w:val="008D0D1B"/>
    <w:rsid w:val="008D3742"/>
    <w:rsid w:val="008E05D5"/>
    <w:rsid w:val="008E0CC2"/>
    <w:rsid w:val="008E2BA8"/>
    <w:rsid w:val="008E500F"/>
    <w:rsid w:val="008E63D8"/>
    <w:rsid w:val="008E787B"/>
    <w:rsid w:val="008F1EE8"/>
    <w:rsid w:val="008F2371"/>
    <w:rsid w:val="008F2AF2"/>
    <w:rsid w:val="008F2B3E"/>
    <w:rsid w:val="008F32B8"/>
    <w:rsid w:val="009000FE"/>
    <w:rsid w:val="00901EB2"/>
    <w:rsid w:val="00902FCB"/>
    <w:rsid w:val="0090747C"/>
    <w:rsid w:val="0091391B"/>
    <w:rsid w:val="0091512B"/>
    <w:rsid w:val="00917F47"/>
    <w:rsid w:val="009217F2"/>
    <w:rsid w:val="0092472A"/>
    <w:rsid w:val="00926C60"/>
    <w:rsid w:val="009329EF"/>
    <w:rsid w:val="00933B04"/>
    <w:rsid w:val="00933F33"/>
    <w:rsid w:val="009362BF"/>
    <w:rsid w:val="00936B45"/>
    <w:rsid w:val="00936E27"/>
    <w:rsid w:val="00937362"/>
    <w:rsid w:val="0093777B"/>
    <w:rsid w:val="00937796"/>
    <w:rsid w:val="009406B9"/>
    <w:rsid w:val="00940C66"/>
    <w:rsid w:val="00947F6E"/>
    <w:rsid w:val="00950238"/>
    <w:rsid w:val="00950667"/>
    <w:rsid w:val="00952E9D"/>
    <w:rsid w:val="009544D5"/>
    <w:rsid w:val="009545D7"/>
    <w:rsid w:val="009555FE"/>
    <w:rsid w:val="00957141"/>
    <w:rsid w:val="00957565"/>
    <w:rsid w:val="00957EC5"/>
    <w:rsid w:val="009614E8"/>
    <w:rsid w:val="009616F9"/>
    <w:rsid w:val="0096188E"/>
    <w:rsid w:val="00962E4F"/>
    <w:rsid w:val="009642B0"/>
    <w:rsid w:val="00964E29"/>
    <w:rsid w:val="00966CFB"/>
    <w:rsid w:val="00971F25"/>
    <w:rsid w:val="009725B2"/>
    <w:rsid w:val="00977654"/>
    <w:rsid w:val="00981772"/>
    <w:rsid w:val="00982FEB"/>
    <w:rsid w:val="00990BFA"/>
    <w:rsid w:val="00990F15"/>
    <w:rsid w:val="00991A83"/>
    <w:rsid w:val="00993357"/>
    <w:rsid w:val="00994328"/>
    <w:rsid w:val="009958E2"/>
    <w:rsid w:val="009A02D9"/>
    <w:rsid w:val="009A0789"/>
    <w:rsid w:val="009A2A64"/>
    <w:rsid w:val="009A43AE"/>
    <w:rsid w:val="009A4D69"/>
    <w:rsid w:val="009A7A65"/>
    <w:rsid w:val="009A7BAA"/>
    <w:rsid w:val="009B0300"/>
    <w:rsid w:val="009B1FEA"/>
    <w:rsid w:val="009B251E"/>
    <w:rsid w:val="009B379D"/>
    <w:rsid w:val="009B4B73"/>
    <w:rsid w:val="009B5D58"/>
    <w:rsid w:val="009B5E75"/>
    <w:rsid w:val="009C0C8D"/>
    <w:rsid w:val="009C227E"/>
    <w:rsid w:val="009C2AD8"/>
    <w:rsid w:val="009C3926"/>
    <w:rsid w:val="009C3D0F"/>
    <w:rsid w:val="009C5BCF"/>
    <w:rsid w:val="009C6721"/>
    <w:rsid w:val="009C6A04"/>
    <w:rsid w:val="009D445B"/>
    <w:rsid w:val="009E273D"/>
    <w:rsid w:val="009E2E88"/>
    <w:rsid w:val="009E3A4F"/>
    <w:rsid w:val="009E5681"/>
    <w:rsid w:val="009E56E4"/>
    <w:rsid w:val="009E65D1"/>
    <w:rsid w:val="009F1F38"/>
    <w:rsid w:val="009F2D29"/>
    <w:rsid w:val="009F5ECC"/>
    <w:rsid w:val="009F66E8"/>
    <w:rsid w:val="009F72C8"/>
    <w:rsid w:val="009F7675"/>
    <w:rsid w:val="00A00219"/>
    <w:rsid w:val="00A00CF6"/>
    <w:rsid w:val="00A00EF6"/>
    <w:rsid w:val="00A01FF2"/>
    <w:rsid w:val="00A03B76"/>
    <w:rsid w:val="00A03FAE"/>
    <w:rsid w:val="00A05A4F"/>
    <w:rsid w:val="00A06C58"/>
    <w:rsid w:val="00A07837"/>
    <w:rsid w:val="00A10A5E"/>
    <w:rsid w:val="00A1197A"/>
    <w:rsid w:val="00A12BE0"/>
    <w:rsid w:val="00A15545"/>
    <w:rsid w:val="00A159A3"/>
    <w:rsid w:val="00A16BEB"/>
    <w:rsid w:val="00A17CBE"/>
    <w:rsid w:val="00A21E3F"/>
    <w:rsid w:val="00A2356E"/>
    <w:rsid w:val="00A23AFC"/>
    <w:rsid w:val="00A25A00"/>
    <w:rsid w:val="00A30EE8"/>
    <w:rsid w:val="00A31609"/>
    <w:rsid w:val="00A3182D"/>
    <w:rsid w:val="00A31BF5"/>
    <w:rsid w:val="00A32C68"/>
    <w:rsid w:val="00A337ED"/>
    <w:rsid w:val="00A40325"/>
    <w:rsid w:val="00A40D43"/>
    <w:rsid w:val="00A438E1"/>
    <w:rsid w:val="00A4637D"/>
    <w:rsid w:val="00A46593"/>
    <w:rsid w:val="00A46DFC"/>
    <w:rsid w:val="00A50F3F"/>
    <w:rsid w:val="00A5365C"/>
    <w:rsid w:val="00A605B9"/>
    <w:rsid w:val="00A639CB"/>
    <w:rsid w:val="00A64F70"/>
    <w:rsid w:val="00A72045"/>
    <w:rsid w:val="00A720EC"/>
    <w:rsid w:val="00A74939"/>
    <w:rsid w:val="00A81165"/>
    <w:rsid w:val="00A81B18"/>
    <w:rsid w:val="00A84663"/>
    <w:rsid w:val="00A919CA"/>
    <w:rsid w:val="00A91DB0"/>
    <w:rsid w:val="00A9212A"/>
    <w:rsid w:val="00A92281"/>
    <w:rsid w:val="00A949EA"/>
    <w:rsid w:val="00A94EB8"/>
    <w:rsid w:val="00AA1501"/>
    <w:rsid w:val="00AA1FB4"/>
    <w:rsid w:val="00AA30E1"/>
    <w:rsid w:val="00AA3839"/>
    <w:rsid w:val="00AA3AC5"/>
    <w:rsid w:val="00AA4C82"/>
    <w:rsid w:val="00AA5B98"/>
    <w:rsid w:val="00AA64E6"/>
    <w:rsid w:val="00AB11C4"/>
    <w:rsid w:val="00AB15F4"/>
    <w:rsid w:val="00AB1955"/>
    <w:rsid w:val="00AB2B68"/>
    <w:rsid w:val="00AB2E4A"/>
    <w:rsid w:val="00AB76FD"/>
    <w:rsid w:val="00AB7C87"/>
    <w:rsid w:val="00AC02BA"/>
    <w:rsid w:val="00AC0612"/>
    <w:rsid w:val="00AC5399"/>
    <w:rsid w:val="00AC58C6"/>
    <w:rsid w:val="00AC7855"/>
    <w:rsid w:val="00AD373F"/>
    <w:rsid w:val="00AD491B"/>
    <w:rsid w:val="00AD5352"/>
    <w:rsid w:val="00AD5D2A"/>
    <w:rsid w:val="00AE2499"/>
    <w:rsid w:val="00AE2D3F"/>
    <w:rsid w:val="00AE38EC"/>
    <w:rsid w:val="00AE498C"/>
    <w:rsid w:val="00AE7BEB"/>
    <w:rsid w:val="00AE7D87"/>
    <w:rsid w:val="00AF0075"/>
    <w:rsid w:val="00AF2E2C"/>
    <w:rsid w:val="00AF3458"/>
    <w:rsid w:val="00AF562A"/>
    <w:rsid w:val="00AF6E91"/>
    <w:rsid w:val="00AF718E"/>
    <w:rsid w:val="00AF7C7B"/>
    <w:rsid w:val="00B023D3"/>
    <w:rsid w:val="00B027F3"/>
    <w:rsid w:val="00B03186"/>
    <w:rsid w:val="00B03C8B"/>
    <w:rsid w:val="00B052CC"/>
    <w:rsid w:val="00B0659F"/>
    <w:rsid w:val="00B11F33"/>
    <w:rsid w:val="00B12261"/>
    <w:rsid w:val="00B1332C"/>
    <w:rsid w:val="00B14376"/>
    <w:rsid w:val="00B14DFF"/>
    <w:rsid w:val="00B219E9"/>
    <w:rsid w:val="00B21B45"/>
    <w:rsid w:val="00B21F0A"/>
    <w:rsid w:val="00B225CB"/>
    <w:rsid w:val="00B24AF8"/>
    <w:rsid w:val="00B31A9F"/>
    <w:rsid w:val="00B3275D"/>
    <w:rsid w:val="00B340FF"/>
    <w:rsid w:val="00B35F98"/>
    <w:rsid w:val="00B36FCB"/>
    <w:rsid w:val="00B37441"/>
    <w:rsid w:val="00B41BE5"/>
    <w:rsid w:val="00B43D0A"/>
    <w:rsid w:val="00B43DAA"/>
    <w:rsid w:val="00B51A5D"/>
    <w:rsid w:val="00B52E16"/>
    <w:rsid w:val="00B53D23"/>
    <w:rsid w:val="00B53F4D"/>
    <w:rsid w:val="00B54EDE"/>
    <w:rsid w:val="00B55742"/>
    <w:rsid w:val="00B55980"/>
    <w:rsid w:val="00B56C41"/>
    <w:rsid w:val="00B60D2F"/>
    <w:rsid w:val="00B61477"/>
    <w:rsid w:val="00B63279"/>
    <w:rsid w:val="00B641C6"/>
    <w:rsid w:val="00B64876"/>
    <w:rsid w:val="00B66F90"/>
    <w:rsid w:val="00B7140B"/>
    <w:rsid w:val="00B72C08"/>
    <w:rsid w:val="00B7634C"/>
    <w:rsid w:val="00B763E2"/>
    <w:rsid w:val="00B7783D"/>
    <w:rsid w:val="00B805B9"/>
    <w:rsid w:val="00B82A95"/>
    <w:rsid w:val="00B83EF3"/>
    <w:rsid w:val="00B84242"/>
    <w:rsid w:val="00B860D0"/>
    <w:rsid w:val="00B862A4"/>
    <w:rsid w:val="00B87E09"/>
    <w:rsid w:val="00B90DCE"/>
    <w:rsid w:val="00B913E6"/>
    <w:rsid w:val="00B91C3A"/>
    <w:rsid w:val="00B92D2C"/>
    <w:rsid w:val="00B93D9D"/>
    <w:rsid w:val="00B94542"/>
    <w:rsid w:val="00B959B8"/>
    <w:rsid w:val="00B9707D"/>
    <w:rsid w:val="00B97F8B"/>
    <w:rsid w:val="00BA0D3C"/>
    <w:rsid w:val="00BA1230"/>
    <w:rsid w:val="00BA7029"/>
    <w:rsid w:val="00BB1833"/>
    <w:rsid w:val="00BB1AA3"/>
    <w:rsid w:val="00BB2335"/>
    <w:rsid w:val="00BB3E8A"/>
    <w:rsid w:val="00BB4915"/>
    <w:rsid w:val="00BB4AA7"/>
    <w:rsid w:val="00BB5360"/>
    <w:rsid w:val="00BC3751"/>
    <w:rsid w:val="00BC3DED"/>
    <w:rsid w:val="00BC4EAF"/>
    <w:rsid w:val="00BC5C19"/>
    <w:rsid w:val="00BD0708"/>
    <w:rsid w:val="00BD2345"/>
    <w:rsid w:val="00BD4443"/>
    <w:rsid w:val="00BD5BFF"/>
    <w:rsid w:val="00BE0E3A"/>
    <w:rsid w:val="00BE23E8"/>
    <w:rsid w:val="00BE4560"/>
    <w:rsid w:val="00BE4993"/>
    <w:rsid w:val="00BF18B4"/>
    <w:rsid w:val="00BF1F92"/>
    <w:rsid w:val="00BF2121"/>
    <w:rsid w:val="00BF30D5"/>
    <w:rsid w:val="00BF3C46"/>
    <w:rsid w:val="00BF4233"/>
    <w:rsid w:val="00BF51AC"/>
    <w:rsid w:val="00BF607F"/>
    <w:rsid w:val="00BF648A"/>
    <w:rsid w:val="00C04782"/>
    <w:rsid w:val="00C04DFE"/>
    <w:rsid w:val="00C05338"/>
    <w:rsid w:val="00C05888"/>
    <w:rsid w:val="00C06B8E"/>
    <w:rsid w:val="00C07C46"/>
    <w:rsid w:val="00C07E47"/>
    <w:rsid w:val="00C10B7D"/>
    <w:rsid w:val="00C13529"/>
    <w:rsid w:val="00C14E4E"/>
    <w:rsid w:val="00C17375"/>
    <w:rsid w:val="00C1753E"/>
    <w:rsid w:val="00C179B0"/>
    <w:rsid w:val="00C26130"/>
    <w:rsid w:val="00C31ADF"/>
    <w:rsid w:val="00C3217F"/>
    <w:rsid w:val="00C32DB1"/>
    <w:rsid w:val="00C354F7"/>
    <w:rsid w:val="00C37C46"/>
    <w:rsid w:val="00C40224"/>
    <w:rsid w:val="00C40C77"/>
    <w:rsid w:val="00C433AD"/>
    <w:rsid w:val="00C436CF"/>
    <w:rsid w:val="00C43C1D"/>
    <w:rsid w:val="00C43E0C"/>
    <w:rsid w:val="00C44AA2"/>
    <w:rsid w:val="00C44ADC"/>
    <w:rsid w:val="00C45B7D"/>
    <w:rsid w:val="00C47060"/>
    <w:rsid w:val="00C5019A"/>
    <w:rsid w:val="00C50BF7"/>
    <w:rsid w:val="00C52E7F"/>
    <w:rsid w:val="00C5557E"/>
    <w:rsid w:val="00C60528"/>
    <w:rsid w:val="00C60AF4"/>
    <w:rsid w:val="00C6236C"/>
    <w:rsid w:val="00C62A41"/>
    <w:rsid w:val="00C631A5"/>
    <w:rsid w:val="00C67432"/>
    <w:rsid w:val="00C702D1"/>
    <w:rsid w:val="00C70A76"/>
    <w:rsid w:val="00C736CB"/>
    <w:rsid w:val="00C76ECF"/>
    <w:rsid w:val="00C81404"/>
    <w:rsid w:val="00C870B3"/>
    <w:rsid w:val="00C87BCA"/>
    <w:rsid w:val="00C91E95"/>
    <w:rsid w:val="00C91FD9"/>
    <w:rsid w:val="00C92473"/>
    <w:rsid w:val="00C9264C"/>
    <w:rsid w:val="00C95ACD"/>
    <w:rsid w:val="00C95C53"/>
    <w:rsid w:val="00CA0BC5"/>
    <w:rsid w:val="00CA0E0D"/>
    <w:rsid w:val="00CA1871"/>
    <w:rsid w:val="00CA3B6C"/>
    <w:rsid w:val="00CA3E5E"/>
    <w:rsid w:val="00CA6690"/>
    <w:rsid w:val="00CA6A7A"/>
    <w:rsid w:val="00CA7024"/>
    <w:rsid w:val="00CA7F8F"/>
    <w:rsid w:val="00CB3429"/>
    <w:rsid w:val="00CB40CB"/>
    <w:rsid w:val="00CB6BBE"/>
    <w:rsid w:val="00CC10D0"/>
    <w:rsid w:val="00CC1734"/>
    <w:rsid w:val="00CC598D"/>
    <w:rsid w:val="00CC6B52"/>
    <w:rsid w:val="00CD1AE9"/>
    <w:rsid w:val="00CD1F8D"/>
    <w:rsid w:val="00CD2983"/>
    <w:rsid w:val="00CD5879"/>
    <w:rsid w:val="00CD5C00"/>
    <w:rsid w:val="00CD6453"/>
    <w:rsid w:val="00CD6533"/>
    <w:rsid w:val="00CE0AA0"/>
    <w:rsid w:val="00CE1218"/>
    <w:rsid w:val="00CE18D2"/>
    <w:rsid w:val="00CE21B8"/>
    <w:rsid w:val="00CE59CA"/>
    <w:rsid w:val="00CF3007"/>
    <w:rsid w:val="00CF3792"/>
    <w:rsid w:val="00CF4427"/>
    <w:rsid w:val="00CF567F"/>
    <w:rsid w:val="00D026C7"/>
    <w:rsid w:val="00D03456"/>
    <w:rsid w:val="00D04605"/>
    <w:rsid w:val="00D0513F"/>
    <w:rsid w:val="00D1040C"/>
    <w:rsid w:val="00D10ADA"/>
    <w:rsid w:val="00D12789"/>
    <w:rsid w:val="00D12E4C"/>
    <w:rsid w:val="00D15566"/>
    <w:rsid w:val="00D1566A"/>
    <w:rsid w:val="00D15B2C"/>
    <w:rsid w:val="00D216AB"/>
    <w:rsid w:val="00D21809"/>
    <w:rsid w:val="00D23BC1"/>
    <w:rsid w:val="00D25ED1"/>
    <w:rsid w:val="00D27104"/>
    <w:rsid w:val="00D27FDE"/>
    <w:rsid w:val="00D307A5"/>
    <w:rsid w:val="00D31932"/>
    <w:rsid w:val="00D33598"/>
    <w:rsid w:val="00D33707"/>
    <w:rsid w:val="00D34F1A"/>
    <w:rsid w:val="00D40BC5"/>
    <w:rsid w:val="00D42851"/>
    <w:rsid w:val="00D44D13"/>
    <w:rsid w:val="00D458CC"/>
    <w:rsid w:val="00D46AED"/>
    <w:rsid w:val="00D4754D"/>
    <w:rsid w:val="00D5133E"/>
    <w:rsid w:val="00D521F8"/>
    <w:rsid w:val="00D536F7"/>
    <w:rsid w:val="00D5488A"/>
    <w:rsid w:val="00D55274"/>
    <w:rsid w:val="00D55FA0"/>
    <w:rsid w:val="00D56BEC"/>
    <w:rsid w:val="00D60A68"/>
    <w:rsid w:val="00D62179"/>
    <w:rsid w:val="00D63A34"/>
    <w:rsid w:val="00D64E72"/>
    <w:rsid w:val="00D64FF7"/>
    <w:rsid w:val="00D66D37"/>
    <w:rsid w:val="00D67419"/>
    <w:rsid w:val="00D70078"/>
    <w:rsid w:val="00D700BC"/>
    <w:rsid w:val="00D71CD4"/>
    <w:rsid w:val="00D73068"/>
    <w:rsid w:val="00D76D18"/>
    <w:rsid w:val="00D77CF6"/>
    <w:rsid w:val="00D83303"/>
    <w:rsid w:val="00D83824"/>
    <w:rsid w:val="00D8741D"/>
    <w:rsid w:val="00D90E92"/>
    <w:rsid w:val="00D927CA"/>
    <w:rsid w:val="00D92EFC"/>
    <w:rsid w:val="00D97E1D"/>
    <w:rsid w:val="00DA0BD7"/>
    <w:rsid w:val="00DA159C"/>
    <w:rsid w:val="00DA2AB9"/>
    <w:rsid w:val="00DA2F02"/>
    <w:rsid w:val="00DA3595"/>
    <w:rsid w:val="00DA46A7"/>
    <w:rsid w:val="00DA546B"/>
    <w:rsid w:val="00DA58B0"/>
    <w:rsid w:val="00DB1D88"/>
    <w:rsid w:val="00DB2ABE"/>
    <w:rsid w:val="00DB7D42"/>
    <w:rsid w:val="00DC0AA7"/>
    <w:rsid w:val="00DC22E9"/>
    <w:rsid w:val="00DC4123"/>
    <w:rsid w:val="00DC44C3"/>
    <w:rsid w:val="00DC6984"/>
    <w:rsid w:val="00DD04A9"/>
    <w:rsid w:val="00DD1172"/>
    <w:rsid w:val="00DD2290"/>
    <w:rsid w:val="00DD420A"/>
    <w:rsid w:val="00DD5429"/>
    <w:rsid w:val="00DE0CEE"/>
    <w:rsid w:val="00DE1472"/>
    <w:rsid w:val="00DE1E5E"/>
    <w:rsid w:val="00DE2106"/>
    <w:rsid w:val="00DE24F8"/>
    <w:rsid w:val="00DE29F9"/>
    <w:rsid w:val="00DE3286"/>
    <w:rsid w:val="00DE5711"/>
    <w:rsid w:val="00DE798D"/>
    <w:rsid w:val="00DF2D07"/>
    <w:rsid w:val="00DF340B"/>
    <w:rsid w:val="00DF53FF"/>
    <w:rsid w:val="00DF5918"/>
    <w:rsid w:val="00DF5FB9"/>
    <w:rsid w:val="00DF7001"/>
    <w:rsid w:val="00E00D57"/>
    <w:rsid w:val="00E06433"/>
    <w:rsid w:val="00E11183"/>
    <w:rsid w:val="00E12CA3"/>
    <w:rsid w:val="00E13160"/>
    <w:rsid w:val="00E1576E"/>
    <w:rsid w:val="00E2249D"/>
    <w:rsid w:val="00E22FD3"/>
    <w:rsid w:val="00E24A14"/>
    <w:rsid w:val="00E257A4"/>
    <w:rsid w:val="00E264A7"/>
    <w:rsid w:val="00E30728"/>
    <w:rsid w:val="00E3223C"/>
    <w:rsid w:val="00E32298"/>
    <w:rsid w:val="00E3352A"/>
    <w:rsid w:val="00E3668A"/>
    <w:rsid w:val="00E36973"/>
    <w:rsid w:val="00E37C09"/>
    <w:rsid w:val="00E402CF"/>
    <w:rsid w:val="00E41DF6"/>
    <w:rsid w:val="00E421B4"/>
    <w:rsid w:val="00E43027"/>
    <w:rsid w:val="00E4491A"/>
    <w:rsid w:val="00E454D2"/>
    <w:rsid w:val="00E46646"/>
    <w:rsid w:val="00E47D8D"/>
    <w:rsid w:val="00E56E68"/>
    <w:rsid w:val="00E60FD2"/>
    <w:rsid w:val="00E61BE0"/>
    <w:rsid w:val="00E6318F"/>
    <w:rsid w:val="00E6356A"/>
    <w:rsid w:val="00E635E9"/>
    <w:rsid w:val="00E636AE"/>
    <w:rsid w:val="00E64704"/>
    <w:rsid w:val="00E675F7"/>
    <w:rsid w:val="00E70039"/>
    <w:rsid w:val="00E71B17"/>
    <w:rsid w:val="00E7338F"/>
    <w:rsid w:val="00E73E84"/>
    <w:rsid w:val="00E7474A"/>
    <w:rsid w:val="00E755D5"/>
    <w:rsid w:val="00E7756D"/>
    <w:rsid w:val="00E802E2"/>
    <w:rsid w:val="00E8054E"/>
    <w:rsid w:val="00E83862"/>
    <w:rsid w:val="00E8631F"/>
    <w:rsid w:val="00E86C52"/>
    <w:rsid w:val="00E93D55"/>
    <w:rsid w:val="00E969E4"/>
    <w:rsid w:val="00E97844"/>
    <w:rsid w:val="00EA1406"/>
    <w:rsid w:val="00EA2719"/>
    <w:rsid w:val="00EB01D2"/>
    <w:rsid w:val="00EB06E4"/>
    <w:rsid w:val="00EB1007"/>
    <w:rsid w:val="00EB1396"/>
    <w:rsid w:val="00EB20F5"/>
    <w:rsid w:val="00EB21C8"/>
    <w:rsid w:val="00EB2E1A"/>
    <w:rsid w:val="00EB35E7"/>
    <w:rsid w:val="00EB4751"/>
    <w:rsid w:val="00EB586D"/>
    <w:rsid w:val="00EB6244"/>
    <w:rsid w:val="00EB6508"/>
    <w:rsid w:val="00EB6BA4"/>
    <w:rsid w:val="00EC307F"/>
    <w:rsid w:val="00EC6503"/>
    <w:rsid w:val="00EC6BFA"/>
    <w:rsid w:val="00EC7FEE"/>
    <w:rsid w:val="00ED1E18"/>
    <w:rsid w:val="00ED295C"/>
    <w:rsid w:val="00ED2F19"/>
    <w:rsid w:val="00ED40A2"/>
    <w:rsid w:val="00ED47BE"/>
    <w:rsid w:val="00ED6376"/>
    <w:rsid w:val="00EE1249"/>
    <w:rsid w:val="00EE17AC"/>
    <w:rsid w:val="00EE1F19"/>
    <w:rsid w:val="00EE2D63"/>
    <w:rsid w:val="00EE2EB3"/>
    <w:rsid w:val="00EE4722"/>
    <w:rsid w:val="00EE4E7C"/>
    <w:rsid w:val="00EE699F"/>
    <w:rsid w:val="00EE7C55"/>
    <w:rsid w:val="00EF05DC"/>
    <w:rsid w:val="00EF0821"/>
    <w:rsid w:val="00EF0EE1"/>
    <w:rsid w:val="00EF4A67"/>
    <w:rsid w:val="00EF4AD6"/>
    <w:rsid w:val="00EF79C8"/>
    <w:rsid w:val="00F038C3"/>
    <w:rsid w:val="00F04AF9"/>
    <w:rsid w:val="00F05423"/>
    <w:rsid w:val="00F0670E"/>
    <w:rsid w:val="00F078EA"/>
    <w:rsid w:val="00F10929"/>
    <w:rsid w:val="00F109D5"/>
    <w:rsid w:val="00F15C41"/>
    <w:rsid w:val="00F17641"/>
    <w:rsid w:val="00F24B4F"/>
    <w:rsid w:val="00F24F2E"/>
    <w:rsid w:val="00F27922"/>
    <w:rsid w:val="00F314F2"/>
    <w:rsid w:val="00F31CD6"/>
    <w:rsid w:val="00F31CE4"/>
    <w:rsid w:val="00F334C2"/>
    <w:rsid w:val="00F344E5"/>
    <w:rsid w:val="00F364D7"/>
    <w:rsid w:val="00F37A2A"/>
    <w:rsid w:val="00F37CCB"/>
    <w:rsid w:val="00F4118A"/>
    <w:rsid w:val="00F414F7"/>
    <w:rsid w:val="00F431F2"/>
    <w:rsid w:val="00F44C26"/>
    <w:rsid w:val="00F44F37"/>
    <w:rsid w:val="00F455A4"/>
    <w:rsid w:val="00F46400"/>
    <w:rsid w:val="00F46942"/>
    <w:rsid w:val="00F46BBA"/>
    <w:rsid w:val="00F50739"/>
    <w:rsid w:val="00F51350"/>
    <w:rsid w:val="00F5291B"/>
    <w:rsid w:val="00F5340F"/>
    <w:rsid w:val="00F53A05"/>
    <w:rsid w:val="00F5523B"/>
    <w:rsid w:val="00F5690D"/>
    <w:rsid w:val="00F56BBF"/>
    <w:rsid w:val="00F60332"/>
    <w:rsid w:val="00F604FE"/>
    <w:rsid w:val="00F624D4"/>
    <w:rsid w:val="00F64F47"/>
    <w:rsid w:val="00F651C2"/>
    <w:rsid w:val="00F65429"/>
    <w:rsid w:val="00F655A0"/>
    <w:rsid w:val="00F67FF8"/>
    <w:rsid w:val="00F72A83"/>
    <w:rsid w:val="00F735A1"/>
    <w:rsid w:val="00F73769"/>
    <w:rsid w:val="00F76A85"/>
    <w:rsid w:val="00F76E05"/>
    <w:rsid w:val="00F77402"/>
    <w:rsid w:val="00F811D2"/>
    <w:rsid w:val="00F8209C"/>
    <w:rsid w:val="00F845CB"/>
    <w:rsid w:val="00F85A84"/>
    <w:rsid w:val="00F85EF2"/>
    <w:rsid w:val="00F86220"/>
    <w:rsid w:val="00F86261"/>
    <w:rsid w:val="00F87132"/>
    <w:rsid w:val="00F9052A"/>
    <w:rsid w:val="00F90638"/>
    <w:rsid w:val="00F90EF5"/>
    <w:rsid w:val="00F943DF"/>
    <w:rsid w:val="00F954DF"/>
    <w:rsid w:val="00F964D2"/>
    <w:rsid w:val="00F966ED"/>
    <w:rsid w:val="00FA0DC3"/>
    <w:rsid w:val="00FA1251"/>
    <w:rsid w:val="00FA2A05"/>
    <w:rsid w:val="00FA3651"/>
    <w:rsid w:val="00FA3C65"/>
    <w:rsid w:val="00FA541A"/>
    <w:rsid w:val="00FA63AF"/>
    <w:rsid w:val="00FB07C1"/>
    <w:rsid w:val="00FB2AF3"/>
    <w:rsid w:val="00FB2C8B"/>
    <w:rsid w:val="00FB465F"/>
    <w:rsid w:val="00FB6655"/>
    <w:rsid w:val="00FB68CB"/>
    <w:rsid w:val="00FB6DCA"/>
    <w:rsid w:val="00FB794A"/>
    <w:rsid w:val="00FB7B4C"/>
    <w:rsid w:val="00FC0409"/>
    <w:rsid w:val="00FC046D"/>
    <w:rsid w:val="00FC6E9E"/>
    <w:rsid w:val="00FD06CF"/>
    <w:rsid w:val="00FD1C89"/>
    <w:rsid w:val="00FD28DB"/>
    <w:rsid w:val="00FD35BE"/>
    <w:rsid w:val="00FD582F"/>
    <w:rsid w:val="00FD77B3"/>
    <w:rsid w:val="00FE46F0"/>
    <w:rsid w:val="00FE5276"/>
    <w:rsid w:val="00FE5BC8"/>
    <w:rsid w:val="00FE6D6D"/>
    <w:rsid w:val="00FE7709"/>
    <w:rsid w:val="00FF2C67"/>
    <w:rsid w:val="00FF4C58"/>
    <w:rsid w:val="00FF749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080C"/>
  <w15:chartTrackingRefBased/>
  <w15:docId w15:val="{7EC7C11D-08E6-4DCC-BD8E-82477B95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7163"/>
  </w:style>
  <w:style w:type="paragraph" w:styleId="Titre1">
    <w:name w:val="heading 1"/>
    <w:basedOn w:val="Normal"/>
    <w:next w:val="Normal"/>
    <w:link w:val="Titre1Car"/>
    <w:uiPriority w:val="9"/>
    <w:qFormat/>
    <w:rsid w:val="00687DF5"/>
    <w:pPr>
      <w:keepNext/>
      <w:keepLines/>
      <w:numPr>
        <w:numId w:val="10"/>
      </w:numPr>
      <w:spacing w:before="240" w:after="240"/>
      <w:outlineLvl w:val="0"/>
    </w:pPr>
    <w:rPr>
      <w:rFonts w:eastAsiaTheme="majorEastAsia" w:cstheme="minorHAnsi"/>
      <w:color w:val="2F5496" w:themeColor="accent1" w:themeShade="BF"/>
      <w:sz w:val="32"/>
      <w:szCs w:val="32"/>
      <w:lang w:val="en-GB"/>
    </w:rPr>
  </w:style>
  <w:style w:type="paragraph" w:styleId="Titre2">
    <w:name w:val="heading 2"/>
    <w:basedOn w:val="Titre1"/>
    <w:next w:val="Normal"/>
    <w:link w:val="Titre2Car"/>
    <w:uiPriority w:val="9"/>
    <w:unhideWhenUsed/>
    <w:qFormat/>
    <w:rsid w:val="00080E12"/>
    <w:pPr>
      <w:keepNext w:val="0"/>
      <w:keepLines w:val="0"/>
      <w:numPr>
        <w:ilvl w:val="1"/>
        <w:numId w:val="12"/>
      </w:numPr>
      <w:spacing w:line="240" w:lineRule="auto"/>
      <w:jc w:val="both"/>
      <w:textAlignment w:val="baseline"/>
      <w:outlineLvl w:val="1"/>
    </w:pPr>
    <w:rPr>
      <w:rFonts w:eastAsia="Times New Roman" w:cstheme="majorHAnsi"/>
      <w:bCs/>
      <w:kern w:val="36"/>
      <w:sz w:val="28"/>
      <w:lang w:eastAsia="fr-FR"/>
    </w:rPr>
  </w:style>
  <w:style w:type="paragraph" w:styleId="Titre3">
    <w:name w:val="heading 3"/>
    <w:basedOn w:val="Normal"/>
    <w:next w:val="Normal"/>
    <w:link w:val="Titre3Car"/>
    <w:uiPriority w:val="9"/>
    <w:unhideWhenUsed/>
    <w:qFormat/>
    <w:rsid w:val="00080E12"/>
    <w:pPr>
      <w:keepNext/>
      <w:keepLines/>
      <w:numPr>
        <w:ilvl w:val="2"/>
        <w:numId w:val="13"/>
      </w:numPr>
      <w:spacing w:before="40" w:after="120"/>
      <w:outlineLvl w:val="2"/>
    </w:pPr>
    <w:rPr>
      <w:rFonts w:eastAsiaTheme="majorEastAsia" w:cstheme="minorHAnsi"/>
      <w:color w:val="1F3763" w:themeColor="accent1" w:themeShade="7F"/>
      <w:sz w:val="24"/>
      <w:szCs w:val="24"/>
    </w:rPr>
  </w:style>
  <w:style w:type="paragraph" w:styleId="Titre4">
    <w:name w:val="heading 4"/>
    <w:basedOn w:val="Normal"/>
    <w:next w:val="Normal"/>
    <w:link w:val="Titre4Car"/>
    <w:uiPriority w:val="9"/>
    <w:unhideWhenUsed/>
    <w:qFormat/>
    <w:rsid w:val="00CF379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80E12"/>
    <w:rPr>
      <w:rFonts w:eastAsia="Times New Roman" w:cstheme="majorHAnsi"/>
      <w:bCs/>
      <w:color w:val="2F5496" w:themeColor="accent1" w:themeShade="BF"/>
      <w:kern w:val="36"/>
      <w:sz w:val="28"/>
      <w:szCs w:val="32"/>
      <w:lang w:val="en-GB" w:eastAsia="fr-FR"/>
    </w:rPr>
  </w:style>
  <w:style w:type="paragraph" w:styleId="Paragraphedeliste">
    <w:name w:val="List Paragraph"/>
    <w:aliases w:val="Bullet List,Bullet list,Bulletr List Paragraph,FooterText,List Paragraph1,List Paragraph2,List Paragraph21,Listeafsnit1,Paragraphe de liste1,Parágrafo da Lista1,Párrafo de lista1,article,numbered,§ liste à puce,リスト段落1,列出段落,列出段落1"/>
    <w:basedOn w:val="Normal"/>
    <w:link w:val="ParagraphedelisteCar"/>
    <w:uiPriority w:val="34"/>
    <w:qFormat/>
    <w:rsid w:val="00684393"/>
    <w:pPr>
      <w:spacing w:before="240" w:after="120" w:line="360" w:lineRule="auto"/>
      <w:ind w:left="720"/>
      <w:contextualSpacing/>
      <w:jc w:val="both"/>
      <w:textAlignment w:val="baseline"/>
      <w:outlineLvl w:val="0"/>
    </w:pPr>
    <w:rPr>
      <w:rFonts w:ascii="Calibri" w:eastAsia="Times New Roman" w:hAnsi="Calibri" w:cs="Calibri"/>
      <w:color w:val="000000"/>
      <w:lang w:val="en-GB" w:eastAsia="fr-FR"/>
    </w:rPr>
  </w:style>
  <w:style w:type="character" w:customStyle="1" w:styleId="ParagraphedelisteCar">
    <w:name w:val="Paragraphe de liste Car"/>
    <w:aliases w:val="Bullet List Car,Bullet list Car,Bulletr List Paragraph Car,FooterText Car,List Paragraph1 Car,List Paragraph2 Car,List Paragraph21 Car,Listeafsnit1 Car,Paragraphe de liste1 Car,Parágrafo da Lista1 Car,Párrafo de lista1 Car"/>
    <w:link w:val="Paragraphedeliste"/>
    <w:uiPriority w:val="34"/>
    <w:qFormat/>
    <w:locked/>
    <w:rsid w:val="00684393"/>
    <w:rPr>
      <w:rFonts w:ascii="Calibri" w:eastAsia="Times New Roman" w:hAnsi="Calibri" w:cs="Calibri"/>
      <w:color w:val="000000"/>
      <w:lang w:val="en-GB" w:eastAsia="fr-FR"/>
    </w:rPr>
  </w:style>
  <w:style w:type="character" w:customStyle="1" w:styleId="Titre1Car">
    <w:name w:val="Titre 1 Car"/>
    <w:basedOn w:val="Policepardfaut"/>
    <w:link w:val="Titre1"/>
    <w:uiPriority w:val="9"/>
    <w:rsid w:val="00687DF5"/>
    <w:rPr>
      <w:rFonts w:eastAsiaTheme="majorEastAsia" w:cstheme="minorHAnsi"/>
      <w:color w:val="2F5496" w:themeColor="accent1" w:themeShade="BF"/>
      <w:sz w:val="32"/>
      <w:szCs w:val="32"/>
      <w:lang w:val="en-GB"/>
    </w:rPr>
  </w:style>
  <w:style w:type="character" w:styleId="Lienhypertexte">
    <w:name w:val="Hyperlink"/>
    <w:basedOn w:val="Policepardfaut"/>
    <w:uiPriority w:val="99"/>
    <w:unhideWhenUsed/>
    <w:rsid w:val="00150A90"/>
    <w:rPr>
      <w:color w:val="0000FF"/>
      <w:u w:val="single"/>
    </w:rPr>
  </w:style>
  <w:style w:type="paragraph" w:styleId="Corpsdetexte">
    <w:name w:val="Body Text"/>
    <w:basedOn w:val="Normal"/>
    <w:link w:val="CorpsdetexteCar"/>
    <w:rsid w:val="00150A90"/>
    <w:pPr>
      <w:spacing w:after="0" w:line="240" w:lineRule="auto"/>
      <w:jc w:val="center"/>
    </w:pPr>
    <w:rPr>
      <w:rFonts w:ascii="Times New Roman" w:eastAsia="Times New Roman" w:hAnsi="Times New Roman" w:cs="Times New Roman"/>
      <w:sz w:val="32"/>
      <w:szCs w:val="24"/>
      <w:lang w:eastAsia="fr-FR"/>
    </w:rPr>
  </w:style>
  <w:style w:type="character" w:customStyle="1" w:styleId="CorpsdetexteCar">
    <w:name w:val="Corps de texte Car"/>
    <w:basedOn w:val="Policepardfaut"/>
    <w:link w:val="Corpsdetexte"/>
    <w:rsid w:val="00150A90"/>
    <w:rPr>
      <w:rFonts w:ascii="Times New Roman" w:eastAsia="Times New Roman" w:hAnsi="Times New Roman" w:cs="Times New Roman"/>
      <w:sz w:val="32"/>
      <w:szCs w:val="24"/>
      <w:lang w:eastAsia="fr-FR"/>
    </w:rPr>
  </w:style>
  <w:style w:type="character" w:styleId="Marquedecommentaire">
    <w:name w:val="annotation reference"/>
    <w:basedOn w:val="Policepardfaut"/>
    <w:uiPriority w:val="99"/>
    <w:unhideWhenUsed/>
    <w:rsid w:val="00545117"/>
    <w:rPr>
      <w:sz w:val="16"/>
      <w:szCs w:val="16"/>
    </w:rPr>
  </w:style>
  <w:style w:type="paragraph" w:styleId="Commentaire">
    <w:name w:val="annotation text"/>
    <w:basedOn w:val="Normal"/>
    <w:link w:val="CommentaireCar"/>
    <w:uiPriority w:val="99"/>
    <w:unhideWhenUsed/>
    <w:rsid w:val="00545117"/>
    <w:pPr>
      <w:spacing w:after="200" w:line="240" w:lineRule="auto"/>
    </w:pPr>
    <w:rPr>
      <w:sz w:val="20"/>
      <w:szCs w:val="20"/>
    </w:rPr>
  </w:style>
  <w:style w:type="character" w:customStyle="1" w:styleId="CommentaireCar">
    <w:name w:val="Commentaire Car"/>
    <w:basedOn w:val="Policepardfaut"/>
    <w:link w:val="Commentaire"/>
    <w:uiPriority w:val="99"/>
    <w:rsid w:val="00545117"/>
    <w:rPr>
      <w:sz w:val="20"/>
      <w:szCs w:val="20"/>
    </w:rPr>
  </w:style>
  <w:style w:type="paragraph" w:styleId="Textedebulles">
    <w:name w:val="Balloon Text"/>
    <w:basedOn w:val="Normal"/>
    <w:link w:val="TextedebullesCar"/>
    <w:uiPriority w:val="99"/>
    <w:semiHidden/>
    <w:unhideWhenUsed/>
    <w:rsid w:val="0054511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5117"/>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FB2AF3"/>
    <w:pPr>
      <w:spacing w:after="160"/>
    </w:pPr>
    <w:rPr>
      <w:b/>
      <w:bCs/>
    </w:rPr>
  </w:style>
  <w:style w:type="character" w:customStyle="1" w:styleId="ObjetducommentaireCar">
    <w:name w:val="Objet du commentaire Car"/>
    <w:basedOn w:val="CommentaireCar"/>
    <w:link w:val="Objetducommentaire"/>
    <w:uiPriority w:val="99"/>
    <w:semiHidden/>
    <w:rsid w:val="00FB2AF3"/>
    <w:rPr>
      <w:b/>
      <w:bCs/>
      <w:sz w:val="20"/>
      <w:szCs w:val="20"/>
    </w:rPr>
  </w:style>
  <w:style w:type="character" w:customStyle="1" w:styleId="Titre3Car">
    <w:name w:val="Titre 3 Car"/>
    <w:basedOn w:val="Policepardfaut"/>
    <w:link w:val="Titre3"/>
    <w:uiPriority w:val="9"/>
    <w:rsid w:val="00080E12"/>
    <w:rPr>
      <w:rFonts w:eastAsiaTheme="majorEastAsia" w:cstheme="minorHAnsi"/>
      <w:color w:val="1F3763" w:themeColor="accent1" w:themeShade="7F"/>
      <w:sz w:val="24"/>
      <w:szCs w:val="24"/>
    </w:rPr>
  </w:style>
  <w:style w:type="paragraph" w:styleId="Rvision">
    <w:name w:val="Revision"/>
    <w:hidden/>
    <w:uiPriority w:val="99"/>
    <w:semiHidden/>
    <w:rsid w:val="00F5523B"/>
    <w:pPr>
      <w:spacing w:after="0" w:line="240" w:lineRule="auto"/>
    </w:pPr>
  </w:style>
  <w:style w:type="paragraph" w:styleId="Bibliographie">
    <w:name w:val="Bibliography"/>
    <w:basedOn w:val="Normal"/>
    <w:next w:val="Normal"/>
    <w:uiPriority w:val="37"/>
    <w:unhideWhenUsed/>
    <w:rsid w:val="00A9212A"/>
    <w:pPr>
      <w:spacing w:after="240" w:line="240" w:lineRule="auto"/>
    </w:pPr>
  </w:style>
  <w:style w:type="character" w:styleId="lev">
    <w:name w:val="Strong"/>
    <w:basedOn w:val="Policepardfaut"/>
    <w:uiPriority w:val="22"/>
    <w:qFormat/>
    <w:rsid w:val="00CD1AE9"/>
    <w:rPr>
      <w:b/>
      <w:bCs/>
    </w:rPr>
  </w:style>
  <w:style w:type="character" w:customStyle="1" w:styleId="Titre4Car">
    <w:name w:val="Titre 4 Car"/>
    <w:basedOn w:val="Policepardfaut"/>
    <w:link w:val="Titre4"/>
    <w:uiPriority w:val="9"/>
    <w:rsid w:val="00CF3792"/>
    <w:rPr>
      <w:rFonts w:asciiTheme="majorHAnsi" w:eastAsiaTheme="majorEastAsia" w:hAnsiTheme="majorHAnsi" w:cstheme="majorBidi"/>
      <w:i/>
      <w:iCs/>
      <w:color w:val="2F5496" w:themeColor="accent1" w:themeShade="BF"/>
    </w:rPr>
  </w:style>
  <w:style w:type="paragraph" w:styleId="En-tte">
    <w:name w:val="header"/>
    <w:basedOn w:val="Normal"/>
    <w:link w:val="En-tteCar"/>
    <w:uiPriority w:val="99"/>
    <w:unhideWhenUsed/>
    <w:rsid w:val="002331B1"/>
    <w:pPr>
      <w:tabs>
        <w:tab w:val="center" w:pos="4536"/>
        <w:tab w:val="right" w:pos="9072"/>
      </w:tabs>
      <w:spacing w:after="0" w:line="240" w:lineRule="auto"/>
    </w:pPr>
  </w:style>
  <w:style w:type="character" w:customStyle="1" w:styleId="En-tteCar">
    <w:name w:val="En-tête Car"/>
    <w:basedOn w:val="Policepardfaut"/>
    <w:link w:val="En-tte"/>
    <w:uiPriority w:val="99"/>
    <w:rsid w:val="002331B1"/>
  </w:style>
  <w:style w:type="paragraph" w:styleId="Pieddepage">
    <w:name w:val="footer"/>
    <w:basedOn w:val="Normal"/>
    <w:link w:val="PieddepageCar"/>
    <w:uiPriority w:val="99"/>
    <w:unhideWhenUsed/>
    <w:rsid w:val="002331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31B1"/>
  </w:style>
  <w:style w:type="character" w:customStyle="1" w:styleId="UnresolvedMention1">
    <w:name w:val="Unresolved Mention1"/>
    <w:basedOn w:val="Policepardfaut"/>
    <w:uiPriority w:val="99"/>
    <w:semiHidden/>
    <w:unhideWhenUsed/>
    <w:rsid w:val="006E5C1F"/>
    <w:rPr>
      <w:color w:val="605E5C"/>
      <w:shd w:val="clear" w:color="auto" w:fill="E1DFDD"/>
    </w:rPr>
  </w:style>
  <w:style w:type="character" w:customStyle="1" w:styleId="UnresolvedMention2">
    <w:name w:val="Unresolved Mention2"/>
    <w:basedOn w:val="Policepardfaut"/>
    <w:uiPriority w:val="99"/>
    <w:unhideWhenUsed/>
    <w:rsid w:val="00AC58C6"/>
    <w:rPr>
      <w:color w:val="605E5C"/>
      <w:shd w:val="clear" w:color="auto" w:fill="E1DFDD"/>
    </w:rPr>
  </w:style>
  <w:style w:type="character" w:customStyle="1" w:styleId="Mentionnonrsolue1">
    <w:name w:val="Mention non résolue1"/>
    <w:basedOn w:val="Policepardfaut"/>
    <w:uiPriority w:val="99"/>
    <w:semiHidden/>
    <w:unhideWhenUsed/>
    <w:rsid w:val="00AC58C6"/>
    <w:rPr>
      <w:color w:val="605E5C"/>
      <w:shd w:val="clear" w:color="auto" w:fill="E1DFDD"/>
    </w:rPr>
  </w:style>
  <w:style w:type="paragraph" w:styleId="Titre">
    <w:name w:val="Title"/>
    <w:basedOn w:val="Normal"/>
    <w:next w:val="Normal"/>
    <w:link w:val="TitreCar"/>
    <w:uiPriority w:val="10"/>
    <w:qFormat/>
    <w:rsid w:val="00F279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2792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67662">
      <w:bodyDiv w:val="1"/>
      <w:marLeft w:val="0"/>
      <w:marRight w:val="0"/>
      <w:marTop w:val="0"/>
      <w:marBottom w:val="0"/>
      <w:divBdr>
        <w:top w:val="none" w:sz="0" w:space="0" w:color="auto"/>
        <w:left w:val="none" w:sz="0" w:space="0" w:color="auto"/>
        <w:bottom w:val="none" w:sz="0" w:space="0" w:color="auto"/>
        <w:right w:val="none" w:sz="0" w:space="0" w:color="auto"/>
      </w:divBdr>
      <w:divsChild>
        <w:div w:id="884174502">
          <w:marLeft w:val="0"/>
          <w:marRight w:val="0"/>
          <w:marTop w:val="0"/>
          <w:marBottom w:val="0"/>
          <w:divBdr>
            <w:top w:val="none" w:sz="0" w:space="0" w:color="auto"/>
            <w:left w:val="none" w:sz="0" w:space="0" w:color="auto"/>
            <w:bottom w:val="none" w:sz="0" w:space="0" w:color="auto"/>
            <w:right w:val="none" w:sz="0" w:space="0" w:color="auto"/>
          </w:divBdr>
          <w:divsChild>
            <w:div w:id="524056546">
              <w:marLeft w:val="0"/>
              <w:marRight w:val="0"/>
              <w:marTop w:val="0"/>
              <w:marBottom w:val="0"/>
              <w:divBdr>
                <w:top w:val="none" w:sz="0" w:space="0" w:color="auto"/>
                <w:left w:val="none" w:sz="0" w:space="0" w:color="auto"/>
                <w:bottom w:val="none" w:sz="0" w:space="0" w:color="auto"/>
                <w:right w:val="none" w:sz="0" w:space="0" w:color="auto"/>
              </w:divBdr>
              <w:divsChild>
                <w:div w:id="1535918332">
                  <w:marLeft w:val="0"/>
                  <w:marRight w:val="0"/>
                  <w:marTop w:val="0"/>
                  <w:marBottom w:val="0"/>
                  <w:divBdr>
                    <w:top w:val="none" w:sz="0" w:space="0" w:color="auto"/>
                    <w:left w:val="none" w:sz="0" w:space="0" w:color="auto"/>
                    <w:bottom w:val="none" w:sz="0" w:space="0" w:color="auto"/>
                    <w:right w:val="none" w:sz="0" w:space="0" w:color="auto"/>
                  </w:divBdr>
                  <w:divsChild>
                    <w:div w:id="1457136221">
                      <w:marLeft w:val="0"/>
                      <w:marRight w:val="0"/>
                      <w:marTop w:val="0"/>
                      <w:marBottom w:val="0"/>
                      <w:divBdr>
                        <w:top w:val="none" w:sz="0" w:space="0" w:color="auto"/>
                        <w:left w:val="none" w:sz="0" w:space="0" w:color="auto"/>
                        <w:bottom w:val="none" w:sz="0" w:space="0" w:color="auto"/>
                        <w:right w:val="none" w:sz="0" w:space="0" w:color="auto"/>
                      </w:divBdr>
                      <w:divsChild>
                        <w:div w:id="1556504758">
                          <w:marLeft w:val="0"/>
                          <w:marRight w:val="0"/>
                          <w:marTop w:val="0"/>
                          <w:marBottom w:val="0"/>
                          <w:divBdr>
                            <w:top w:val="none" w:sz="0" w:space="0" w:color="auto"/>
                            <w:left w:val="none" w:sz="0" w:space="0" w:color="auto"/>
                            <w:bottom w:val="none" w:sz="0" w:space="0" w:color="auto"/>
                            <w:right w:val="none" w:sz="0" w:space="0" w:color="auto"/>
                          </w:divBdr>
                          <w:divsChild>
                            <w:div w:id="556740700">
                              <w:marLeft w:val="0"/>
                              <w:marRight w:val="0"/>
                              <w:marTop w:val="0"/>
                              <w:marBottom w:val="0"/>
                              <w:divBdr>
                                <w:top w:val="none" w:sz="0" w:space="0" w:color="auto"/>
                                <w:left w:val="none" w:sz="0" w:space="0" w:color="auto"/>
                                <w:bottom w:val="none" w:sz="0" w:space="0" w:color="auto"/>
                                <w:right w:val="none" w:sz="0" w:space="0" w:color="auto"/>
                              </w:divBdr>
                              <w:divsChild>
                                <w:div w:id="1866670066">
                                  <w:marLeft w:val="0"/>
                                  <w:marRight w:val="0"/>
                                  <w:marTop w:val="0"/>
                                  <w:marBottom w:val="0"/>
                                  <w:divBdr>
                                    <w:top w:val="none" w:sz="0" w:space="0" w:color="auto"/>
                                    <w:left w:val="none" w:sz="0" w:space="0" w:color="auto"/>
                                    <w:bottom w:val="none" w:sz="0" w:space="0" w:color="auto"/>
                                    <w:right w:val="none" w:sz="0" w:space="0" w:color="auto"/>
                                  </w:divBdr>
                                  <w:divsChild>
                                    <w:div w:id="1594975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12409">
      <w:bodyDiv w:val="1"/>
      <w:marLeft w:val="0"/>
      <w:marRight w:val="0"/>
      <w:marTop w:val="0"/>
      <w:marBottom w:val="0"/>
      <w:divBdr>
        <w:top w:val="none" w:sz="0" w:space="0" w:color="auto"/>
        <w:left w:val="none" w:sz="0" w:space="0" w:color="auto"/>
        <w:bottom w:val="none" w:sz="0" w:space="0" w:color="auto"/>
        <w:right w:val="none" w:sz="0" w:space="0" w:color="auto"/>
      </w:divBdr>
    </w:div>
    <w:div w:id="51347398">
      <w:bodyDiv w:val="1"/>
      <w:marLeft w:val="0"/>
      <w:marRight w:val="0"/>
      <w:marTop w:val="0"/>
      <w:marBottom w:val="0"/>
      <w:divBdr>
        <w:top w:val="none" w:sz="0" w:space="0" w:color="auto"/>
        <w:left w:val="none" w:sz="0" w:space="0" w:color="auto"/>
        <w:bottom w:val="none" w:sz="0" w:space="0" w:color="auto"/>
        <w:right w:val="none" w:sz="0" w:space="0" w:color="auto"/>
      </w:divBdr>
    </w:div>
    <w:div w:id="132716098">
      <w:bodyDiv w:val="1"/>
      <w:marLeft w:val="0"/>
      <w:marRight w:val="0"/>
      <w:marTop w:val="0"/>
      <w:marBottom w:val="0"/>
      <w:divBdr>
        <w:top w:val="none" w:sz="0" w:space="0" w:color="auto"/>
        <w:left w:val="none" w:sz="0" w:space="0" w:color="auto"/>
        <w:bottom w:val="none" w:sz="0" w:space="0" w:color="auto"/>
        <w:right w:val="none" w:sz="0" w:space="0" w:color="auto"/>
      </w:divBdr>
    </w:div>
    <w:div w:id="138812937">
      <w:bodyDiv w:val="1"/>
      <w:marLeft w:val="0"/>
      <w:marRight w:val="0"/>
      <w:marTop w:val="0"/>
      <w:marBottom w:val="0"/>
      <w:divBdr>
        <w:top w:val="none" w:sz="0" w:space="0" w:color="auto"/>
        <w:left w:val="none" w:sz="0" w:space="0" w:color="auto"/>
        <w:bottom w:val="none" w:sz="0" w:space="0" w:color="auto"/>
        <w:right w:val="none" w:sz="0" w:space="0" w:color="auto"/>
      </w:divBdr>
    </w:div>
    <w:div w:id="142897319">
      <w:bodyDiv w:val="1"/>
      <w:marLeft w:val="0"/>
      <w:marRight w:val="0"/>
      <w:marTop w:val="0"/>
      <w:marBottom w:val="0"/>
      <w:divBdr>
        <w:top w:val="none" w:sz="0" w:space="0" w:color="auto"/>
        <w:left w:val="none" w:sz="0" w:space="0" w:color="auto"/>
        <w:bottom w:val="none" w:sz="0" w:space="0" w:color="auto"/>
        <w:right w:val="none" w:sz="0" w:space="0" w:color="auto"/>
      </w:divBdr>
    </w:div>
    <w:div w:id="209465597">
      <w:bodyDiv w:val="1"/>
      <w:marLeft w:val="0"/>
      <w:marRight w:val="0"/>
      <w:marTop w:val="0"/>
      <w:marBottom w:val="0"/>
      <w:divBdr>
        <w:top w:val="none" w:sz="0" w:space="0" w:color="auto"/>
        <w:left w:val="none" w:sz="0" w:space="0" w:color="auto"/>
        <w:bottom w:val="none" w:sz="0" w:space="0" w:color="auto"/>
        <w:right w:val="none" w:sz="0" w:space="0" w:color="auto"/>
      </w:divBdr>
      <w:divsChild>
        <w:div w:id="262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934528">
      <w:bodyDiv w:val="1"/>
      <w:marLeft w:val="0"/>
      <w:marRight w:val="0"/>
      <w:marTop w:val="0"/>
      <w:marBottom w:val="0"/>
      <w:divBdr>
        <w:top w:val="none" w:sz="0" w:space="0" w:color="auto"/>
        <w:left w:val="none" w:sz="0" w:space="0" w:color="auto"/>
        <w:bottom w:val="none" w:sz="0" w:space="0" w:color="auto"/>
        <w:right w:val="none" w:sz="0" w:space="0" w:color="auto"/>
      </w:divBdr>
    </w:div>
    <w:div w:id="251554453">
      <w:bodyDiv w:val="1"/>
      <w:marLeft w:val="0"/>
      <w:marRight w:val="0"/>
      <w:marTop w:val="0"/>
      <w:marBottom w:val="0"/>
      <w:divBdr>
        <w:top w:val="none" w:sz="0" w:space="0" w:color="auto"/>
        <w:left w:val="none" w:sz="0" w:space="0" w:color="auto"/>
        <w:bottom w:val="none" w:sz="0" w:space="0" w:color="auto"/>
        <w:right w:val="none" w:sz="0" w:space="0" w:color="auto"/>
      </w:divBdr>
    </w:div>
    <w:div w:id="263538999">
      <w:bodyDiv w:val="1"/>
      <w:marLeft w:val="0"/>
      <w:marRight w:val="0"/>
      <w:marTop w:val="0"/>
      <w:marBottom w:val="0"/>
      <w:divBdr>
        <w:top w:val="none" w:sz="0" w:space="0" w:color="auto"/>
        <w:left w:val="none" w:sz="0" w:space="0" w:color="auto"/>
        <w:bottom w:val="none" w:sz="0" w:space="0" w:color="auto"/>
        <w:right w:val="none" w:sz="0" w:space="0" w:color="auto"/>
      </w:divBdr>
    </w:div>
    <w:div w:id="294676656">
      <w:bodyDiv w:val="1"/>
      <w:marLeft w:val="0"/>
      <w:marRight w:val="0"/>
      <w:marTop w:val="0"/>
      <w:marBottom w:val="0"/>
      <w:divBdr>
        <w:top w:val="none" w:sz="0" w:space="0" w:color="auto"/>
        <w:left w:val="none" w:sz="0" w:space="0" w:color="auto"/>
        <w:bottom w:val="none" w:sz="0" w:space="0" w:color="auto"/>
        <w:right w:val="none" w:sz="0" w:space="0" w:color="auto"/>
      </w:divBdr>
    </w:div>
    <w:div w:id="359861162">
      <w:bodyDiv w:val="1"/>
      <w:marLeft w:val="0"/>
      <w:marRight w:val="0"/>
      <w:marTop w:val="0"/>
      <w:marBottom w:val="0"/>
      <w:divBdr>
        <w:top w:val="none" w:sz="0" w:space="0" w:color="auto"/>
        <w:left w:val="none" w:sz="0" w:space="0" w:color="auto"/>
        <w:bottom w:val="none" w:sz="0" w:space="0" w:color="auto"/>
        <w:right w:val="none" w:sz="0" w:space="0" w:color="auto"/>
      </w:divBdr>
      <w:divsChild>
        <w:div w:id="1560943578">
          <w:marLeft w:val="0"/>
          <w:marRight w:val="0"/>
          <w:marTop w:val="0"/>
          <w:marBottom w:val="0"/>
          <w:divBdr>
            <w:top w:val="none" w:sz="0" w:space="0" w:color="auto"/>
            <w:left w:val="none" w:sz="0" w:space="0" w:color="auto"/>
            <w:bottom w:val="none" w:sz="0" w:space="0" w:color="auto"/>
            <w:right w:val="none" w:sz="0" w:space="0" w:color="auto"/>
          </w:divBdr>
          <w:divsChild>
            <w:div w:id="577597250">
              <w:marLeft w:val="0"/>
              <w:marRight w:val="0"/>
              <w:marTop w:val="0"/>
              <w:marBottom w:val="0"/>
              <w:divBdr>
                <w:top w:val="none" w:sz="0" w:space="0" w:color="auto"/>
                <w:left w:val="none" w:sz="0" w:space="0" w:color="auto"/>
                <w:bottom w:val="none" w:sz="0" w:space="0" w:color="auto"/>
                <w:right w:val="none" w:sz="0" w:space="0" w:color="auto"/>
              </w:divBdr>
              <w:divsChild>
                <w:div w:id="759060230">
                  <w:marLeft w:val="0"/>
                  <w:marRight w:val="0"/>
                  <w:marTop w:val="0"/>
                  <w:marBottom w:val="0"/>
                  <w:divBdr>
                    <w:top w:val="none" w:sz="0" w:space="0" w:color="auto"/>
                    <w:left w:val="none" w:sz="0" w:space="0" w:color="auto"/>
                    <w:bottom w:val="none" w:sz="0" w:space="0" w:color="auto"/>
                    <w:right w:val="none" w:sz="0" w:space="0" w:color="auto"/>
                  </w:divBdr>
                  <w:divsChild>
                    <w:div w:id="741685847">
                      <w:marLeft w:val="0"/>
                      <w:marRight w:val="0"/>
                      <w:marTop w:val="0"/>
                      <w:marBottom w:val="0"/>
                      <w:divBdr>
                        <w:top w:val="none" w:sz="0" w:space="0" w:color="auto"/>
                        <w:left w:val="none" w:sz="0" w:space="0" w:color="auto"/>
                        <w:bottom w:val="none" w:sz="0" w:space="0" w:color="auto"/>
                        <w:right w:val="none" w:sz="0" w:space="0" w:color="auto"/>
                      </w:divBdr>
                      <w:divsChild>
                        <w:div w:id="184486894">
                          <w:marLeft w:val="0"/>
                          <w:marRight w:val="0"/>
                          <w:marTop w:val="0"/>
                          <w:marBottom w:val="0"/>
                          <w:divBdr>
                            <w:top w:val="none" w:sz="0" w:space="0" w:color="auto"/>
                            <w:left w:val="none" w:sz="0" w:space="0" w:color="auto"/>
                            <w:bottom w:val="none" w:sz="0" w:space="0" w:color="auto"/>
                            <w:right w:val="none" w:sz="0" w:space="0" w:color="auto"/>
                          </w:divBdr>
                          <w:divsChild>
                            <w:div w:id="144854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069587">
      <w:bodyDiv w:val="1"/>
      <w:marLeft w:val="0"/>
      <w:marRight w:val="0"/>
      <w:marTop w:val="0"/>
      <w:marBottom w:val="0"/>
      <w:divBdr>
        <w:top w:val="none" w:sz="0" w:space="0" w:color="auto"/>
        <w:left w:val="none" w:sz="0" w:space="0" w:color="auto"/>
        <w:bottom w:val="none" w:sz="0" w:space="0" w:color="auto"/>
        <w:right w:val="none" w:sz="0" w:space="0" w:color="auto"/>
      </w:divBdr>
    </w:div>
    <w:div w:id="571475076">
      <w:bodyDiv w:val="1"/>
      <w:marLeft w:val="0"/>
      <w:marRight w:val="0"/>
      <w:marTop w:val="0"/>
      <w:marBottom w:val="0"/>
      <w:divBdr>
        <w:top w:val="none" w:sz="0" w:space="0" w:color="auto"/>
        <w:left w:val="none" w:sz="0" w:space="0" w:color="auto"/>
        <w:bottom w:val="none" w:sz="0" w:space="0" w:color="auto"/>
        <w:right w:val="none" w:sz="0" w:space="0" w:color="auto"/>
      </w:divBdr>
    </w:div>
    <w:div w:id="634675809">
      <w:bodyDiv w:val="1"/>
      <w:marLeft w:val="0"/>
      <w:marRight w:val="0"/>
      <w:marTop w:val="0"/>
      <w:marBottom w:val="0"/>
      <w:divBdr>
        <w:top w:val="none" w:sz="0" w:space="0" w:color="auto"/>
        <w:left w:val="none" w:sz="0" w:space="0" w:color="auto"/>
        <w:bottom w:val="none" w:sz="0" w:space="0" w:color="auto"/>
        <w:right w:val="none" w:sz="0" w:space="0" w:color="auto"/>
      </w:divBdr>
    </w:div>
    <w:div w:id="666909798">
      <w:bodyDiv w:val="1"/>
      <w:marLeft w:val="0"/>
      <w:marRight w:val="0"/>
      <w:marTop w:val="0"/>
      <w:marBottom w:val="0"/>
      <w:divBdr>
        <w:top w:val="none" w:sz="0" w:space="0" w:color="auto"/>
        <w:left w:val="none" w:sz="0" w:space="0" w:color="auto"/>
        <w:bottom w:val="none" w:sz="0" w:space="0" w:color="auto"/>
        <w:right w:val="none" w:sz="0" w:space="0" w:color="auto"/>
      </w:divBdr>
      <w:divsChild>
        <w:div w:id="492768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7434208">
      <w:bodyDiv w:val="1"/>
      <w:marLeft w:val="0"/>
      <w:marRight w:val="0"/>
      <w:marTop w:val="0"/>
      <w:marBottom w:val="0"/>
      <w:divBdr>
        <w:top w:val="none" w:sz="0" w:space="0" w:color="auto"/>
        <w:left w:val="none" w:sz="0" w:space="0" w:color="auto"/>
        <w:bottom w:val="none" w:sz="0" w:space="0" w:color="auto"/>
        <w:right w:val="none" w:sz="0" w:space="0" w:color="auto"/>
      </w:divBdr>
    </w:div>
    <w:div w:id="786461885">
      <w:bodyDiv w:val="1"/>
      <w:marLeft w:val="0"/>
      <w:marRight w:val="0"/>
      <w:marTop w:val="0"/>
      <w:marBottom w:val="0"/>
      <w:divBdr>
        <w:top w:val="none" w:sz="0" w:space="0" w:color="auto"/>
        <w:left w:val="none" w:sz="0" w:space="0" w:color="auto"/>
        <w:bottom w:val="none" w:sz="0" w:space="0" w:color="auto"/>
        <w:right w:val="none" w:sz="0" w:space="0" w:color="auto"/>
      </w:divBdr>
    </w:div>
    <w:div w:id="997077631">
      <w:bodyDiv w:val="1"/>
      <w:marLeft w:val="0"/>
      <w:marRight w:val="0"/>
      <w:marTop w:val="0"/>
      <w:marBottom w:val="0"/>
      <w:divBdr>
        <w:top w:val="none" w:sz="0" w:space="0" w:color="auto"/>
        <w:left w:val="none" w:sz="0" w:space="0" w:color="auto"/>
        <w:bottom w:val="none" w:sz="0" w:space="0" w:color="auto"/>
        <w:right w:val="none" w:sz="0" w:space="0" w:color="auto"/>
      </w:divBdr>
    </w:div>
    <w:div w:id="1027171857">
      <w:bodyDiv w:val="1"/>
      <w:marLeft w:val="0"/>
      <w:marRight w:val="0"/>
      <w:marTop w:val="0"/>
      <w:marBottom w:val="0"/>
      <w:divBdr>
        <w:top w:val="none" w:sz="0" w:space="0" w:color="auto"/>
        <w:left w:val="none" w:sz="0" w:space="0" w:color="auto"/>
        <w:bottom w:val="none" w:sz="0" w:space="0" w:color="auto"/>
        <w:right w:val="none" w:sz="0" w:space="0" w:color="auto"/>
      </w:divBdr>
    </w:div>
    <w:div w:id="1070662177">
      <w:bodyDiv w:val="1"/>
      <w:marLeft w:val="0"/>
      <w:marRight w:val="0"/>
      <w:marTop w:val="0"/>
      <w:marBottom w:val="0"/>
      <w:divBdr>
        <w:top w:val="none" w:sz="0" w:space="0" w:color="auto"/>
        <w:left w:val="none" w:sz="0" w:space="0" w:color="auto"/>
        <w:bottom w:val="none" w:sz="0" w:space="0" w:color="auto"/>
        <w:right w:val="none" w:sz="0" w:space="0" w:color="auto"/>
      </w:divBdr>
    </w:div>
    <w:div w:id="1123232072">
      <w:bodyDiv w:val="1"/>
      <w:marLeft w:val="0"/>
      <w:marRight w:val="0"/>
      <w:marTop w:val="0"/>
      <w:marBottom w:val="0"/>
      <w:divBdr>
        <w:top w:val="none" w:sz="0" w:space="0" w:color="auto"/>
        <w:left w:val="none" w:sz="0" w:space="0" w:color="auto"/>
        <w:bottom w:val="none" w:sz="0" w:space="0" w:color="auto"/>
        <w:right w:val="none" w:sz="0" w:space="0" w:color="auto"/>
      </w:divBdr>
    </w:div>
    <w:div w:id="1168204572">
      <w:bodyDiv w:val="1"/>
      <w:marLeft w:val="0"/>
      <w:marRight w:val="0"/>
      <w:marTop w:val="0"/>
      <w:marBottom w:val="0"/>
      <w:divBdr>
        <w:top w:val="none" w:sz="0" w:space="0" w:color="auto"/>
        <w:left w:val="none" w:sz="0" w:space="0" w:color="auto"/>
        <w:bottom w:val="none" w:sz="0" w:space="0" w:color="auto"/>
        <w:right w:val="none" w:sz="0" w:space="0" w:color="auto"/>
      </w:divBdr>
    </w:div>
    <w:div w:id="1170101835">
      <w:bodyDiv w:val="1"/>
      <w:marLeft w:val="0"/>
      <w:marRight w:val="0"/>
      <w:marTop w:val="0"/>
      <w:marBottom w:val="0"/>
      <w:divBdr>
        <w:top w:val="none" w:sz="0" w:space="0" w:color="auto"/>
        <w:left w:val="none" w:sz="0" w:space="0" w:color="auto"/>
        <w:bottom w:val="none" w:sz="0" w:space="0" w:color="auto"/>
        <w:right w:val="none" w:sz="0" w:space="0" w:color="auto"/>
      </w:divBdr>
    </w:div>
    <w:div w:id="1179810394">
      <w:bodyDiv w:val="1"/>
      <w:marLeft w:val="0"/>
      <w:marRight w:val="0"/>
      <w:marTop w:val="0"/>
      <w:marBottom w:val="0"/>
      <w:divBdr>
        <w:top w:val="none" w:sz="0" w:space="0" w:color="auto"/>
        <w:left w:val="none" w:sz="0" w:space="0" w:color="auto"/>
        <w:bottom w:val="none" w:sz="0" w:space="0" w:color="auto"/>
        <w:right w:val="none" w:sz="0" w:space="0" w:color="auto"/>
      </w:divBdr>
    </w:div>
    <w:div w:id="1220902635">
      <w:bodyDiv w:val="1"/>
      <w:marLeft w:val="0"/>
      <w:marRight w:val="0"/>
      <w:marTop w:val="0"/>
      <w:marBottom w:val="0"/>
      <w:divBdr>
        <w:top w:val="none" w:sz="0" w:space="0" w:color="auto"/>
        <w:left w:val="none" w:sz="0" w:space="0" w:color="auto"/>
        <w:bottom w:val="none" w:sz="0" w:space="0" w:color="auto"/>
        <w:right w:val="none" w:sz="0" w:space="0" w:color="auto"/>
      </w:divBdr>
    </w:div>
    <w:div w:id="1253469238">
      <w:bodyDiv w:val="1"/>
      <w:marLeft w:val="0"/>
      <w:marRight w:val="0"/>
      <w:marTop w:val="0"/>
      <w:marBottom w:val="0"/>
      <w:divBdr>
        <w:top w:val="none" w:sz="0" w:space="0" w:color="auto"/>
        <w:left w:val="none" w:sz="0" w:space="0" w:color="auto"/>
        <w:bottom w:val="none" w:sz="0" w:space="0" w:color="auto"/>
        <w:right w:val="none" w:sz="0" w:space="0" w:color="auto"/>
      </w:divBdr>
      <w:divsChild>
        <w:div w:id="1298754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062651">
      <w:bodyDiv w:val="1"/>
      <w:marLeft w:val="0"/>
      <w:marRight w:val="0"/>
      <w:marTop w:val="0"/>
      <w:marBottom w:val="0"/>
      <w:divBdr>
        <w:top w:val="none" w:sz="0" w:space="0" w:color="auto"/>
        <w:left w:val="none" w:sz="0" w:space="0" w:color="auto"/>
        <w:bottom w:val="none" w:sz="0" w:space="0" w:color="auto"/>
        <w:right w:val="none" w:sz="0" w:space="0" w:color="auto"/>
      </w:divBdr>
    </w:div>
    <w:div w:id="1370758063">
      <w:bodyDiv w:val="1"/>
      <w:marLeft w:val="0"/>
      <w:marRight w:val="0"/>
      <w:marTop w:val="0"/>
      <w:marBottom w:val="0"/>
      <w:divBdr>
        <w:top w:val="none" w:sz="0" w:space="0" w:color="auto"/>
        <w:left w:val="none" w:sz="0" w:space="0" w:color="auto"/>
        <w:bottom w:val="none" w:sz="0" w:space="0" w:color="auto"/>
        <w:right w:val="none" w:sz="0" w:space="0" w:color="auto"/>
      </w:divBdr>
    </w:div>
    <w:div w:id="1551067002">
      <w:bodyDiv w:val="1"/>
      <w:marLeft w:val="0"/>
      <w:marRight w:val="0"/>
      <w:marTop w:val="0"/>
      <w:marBottom w:val="0"/>
      <w:divBdr>
        <w:top w:val="none" w:sz="0" w:space="0" w:color="auto"/>
        <w:left w:val="none" w:sz="0" w:space="0" w:color="auto"/>
        <w:bottom w:val="none" w:sz="0" w:space="0" w:color="auto"/>
        <w:right w:val="none" w:sz="0" w:space="0" w:color="auto"/>
      </w:divBdr>
    </w:div>
    <w:div w:id="1595161310">
      <w:bodyDiv w:val="1"/>
      <w:marLeft w:val="0"/>
      <w:marRight w:val="0"/>
      <w:marTop w:val="0"/>
      <w:marBottom w:val="0"/>
      <w:divBdr>
        <w:top w:val="none" w:sz="0" w:space="0" w:color="auto"/>
        <w:left w:val="none" w:sz="0" w:space="0" w:color="auto"/>
        <w:bottom w:val="none" w:sz="0" w:space="0" w:color="auto"/>
        <w:right w:val="none" w:sz="0" w:space="0" w:color="auto"/>
      </w:divBdr>
      <w:divsChild>
        <w:div w:id="16559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094215">
      <w:bodyDiv w:val="1"/>
      <w:marLeft w:val="0"/>
      <w:marRight w:val="0"/>
      <w:marTop w:val="0"/>
      <w:marBottom w:val="0"/>
      <w:divBdr>
        <w:top w:val="none" w:sz="0" w:space="0" w:color="auto"/>
        <w:left w:val="none" w:sz="0" w:space="0" w:color="auto"/>
        <w:bottom w:val="none" w:sz="0" w:space="0" w:color="auto"/>
        <w:right w:val="none" w:sz="0" w:space="0" w:color="auto"/>
      </w:divBdr>
    </w:div>
    <w:div w:id="1731923622">
      <w:bodyDiv w:val="1"/>
      <w:marLeft w:val="0"/>
      <w:marRight w:val="0"/>
      <w:marTop w:val="0"/>
      <w:marBottom w:val="0"/>
      <w:divBdr>
        <w:top w:val="none" w:sz="0" w:space="0" w:color="auto"/>
        <w:left w:val="none" w:sz="0" w:space="0" w:color="auto"/>
        <w:bottom w:val="none" w:sz="0" w:space="0" w:color="auto"/>
        <w:right w:val="none" w:sz="0" w:space="0" w:color="auto"/>
      </w:divBdr>
    </w:div>
    <w:div w:id="1786189611">
      <w:bodyDiv w:val="1"/>
      <w:marLeft w:val="0"/>
      <w:marRight w:val="0"/>
      <w:marTop w:val="0"/>
      <w:marBottom w:val="0"/>
      <w:divBdr>
        <w:top w:val="none" w:sz="0" w:space="0" w:color="auto"/>
        <w:left w:val="none" w:sz="0" w:space="0" w:color="auto"/>
        <w:bottom w:val="none" w:sz="0" w:space="0" w:color="auto"/>
        <w:right w:val="none" w:sz="0" w:space="0" w:color="auto"/>
      </w:divBdr>
    </w:div>
    <w:div w:id="1812357692">
      <w:bodyDiv w:val="1"/>
      <w:marLeft w:val="0"/>
      <w:marRight w:val="0"/>
      <w:marTop w:val="0"/>
      <w:marBottom w:val="0"/>
      <w:divBdr>
        <w:top w:val="none" w:sz="0" w:space="0" w:color="auto"/>
        <w:left w:val="none" w:sz="0" w:space="0" w:color="auto"/>
        <w:bottom w:val="none" w:sz="0" w:space="0" w:color="auto"/>
        <w:right w:val="none" w:sz="0" w:space="0" w:color="auto"/>
      </w:divBdr>
    </w:div>
    <w:div w:id="1916429670">
      <w:bodyDiv w:val="1"/>
      <w:marLeft w:val="0"/>
      <w:marRight w:val="0"/>
      <w:marTop w:val="0"/>
      <w:marBottom w:val="0"/>
      <w:divBdr>
        <w:top w:val="none" w:sz="0" w:space="0" w:color="auto"/>
        <w:left w:val="none" w:sz="0" w:space="0" w:color="auto"/>
        <w:bottom w:val="none" w:sz="0" w:space="0" w:color="auto"/>
        <w:right w:val="none" w:sz="0" w:space="0" w:color="auto"/>
      </w:divBdr>
    </w:div>
    <w:div w:id="2041781192">
      <w:bodyDiv w:val="1"/>
      <w:marLeft w:val="0"/>
      <w:marRight w:val="0"/>
      <w:marTop w:val="0"/>
      <w:marBottom w:val="0"/>
      <w:divBdr>
        <w:top w:val="none" w:sz="0" w:space="0" w:color="auto"/>
        <w:left w:val="none" w:sz="0" w:space="0" w:color="auto"/>
        <w:bottom w:val="none" w:sz="0" w:space="0" w:color="auto"/>
        <w:right w:val="none" w:sz="0" w:space="0" w:color="auto"/>
      </w:divBdr>
    </w:div>
    <w:div w:id="2094692314">
      <w:bodyDiv w:val="1"/>
      <w:marLeft w:val="0"/>
      <w:marRight w:val="0"/>
      <w:marTop w:val="0"/>
      <w:marBottom w:val="0"/>
      <w:divBdr>
        <w:top w:val="none" w:sz="0" w:space="0" w:color="auto"/>
        <w:left w:val="none" w:sz="0" w:space="0" w:color="auto"/>
        <w:bottom w:val="none" w:sz="0" w:space="0" w:color="auto"/>
        <w:right w:val="none" w:sz="0" w:space="0" w:color="auto"/>
      </w:divBdr>
    </w:div>
    <w:div w:id="210830846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79">
          <w:marLeft w:val="0"/>
          <w:marRight w:val="0"/>
          <w:marTop w:val="0"/>
          <w:marBottom w:val="0"/>
          <w:divBdr>
            <w:top w:val="none" w:sz="0" w:space="0" w:color="auto"/>
            <w:left w:val="none" w:sz="0" w:space="0" w:color="auto"/>
            <w:bottom w:val="none" w:sz="0" w:space="0" w:color="auto"/>
            <w:right w:val="none" w:sz="0" w:space="0" w:color="auto"/>
          </w:divBdr>
          <w:divsChild>
            <w:div w:id="1960650300">
              <w:marLeft w:val="0"/>
              <w:marRight w:val="0"/>
              <w:marTop w:val="0"/>
              <w:marBottom w:val="0"/>
              <w:divBdr>
                <w:top w:val="none" w:sz="0" w:space="0" w:color="auto"/>
                <w:left w:val="none" w:sz="0" w:space="0" w:color="auto"/>
                <w:bottom w:val="none" w:sz="0" w:space="0" w:color="auto"/>
                <w:right w:val="none" w:sz="0" w:space="0" w:color="auto"/>
              </w:divBdr>
              <w:divsChild>
                <w:div w:id="1708676148">
                  <w:marLeft w:val="0"/>
                  <w:marRight w:val="0"/>
                  <w:marTop w:val="0"/>
                  <w:marBottom w:val="0"/>
                  <w:divBdr>
                    <w:top w:val="none" w:sz="0" w:space="0" w:color="auto"/>
                    <w:left w:val="none" w:sz="0" w:space="0" w:color="auto"/>
                    <w:bottom w:val="none" w:sz="0" w:space="0" w:color="auto"/>
                    <w:right w:val="none" w:sz="0" w:space="0" w:color="auto"/>
                  </w:divBdr>
                  <w:divsChild>
                    <w:div w:id="41740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38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slay.m@chu-toulous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2-5153-174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E5F33-204E-46E4-89B3-09688CD0BB7E}">
  <ds:schemaRefs>
    <ds:schemaRef ds:uri="http://schemas.openxmlformats.org/officeDocument/2006/bibliography"/>
  </ds:schemaRefs>
</ds:datastoreItem>
</file>

<file path=docMetadata/LabelInfo.xml><?xml version="1.0" encoding="utf-8"?>
<clbl:labelList xmlns:clbl="http://schemas.microsoft.com/office/2020/mipLabelMetadata">
  <clbl:label id="{6f0b9487-4fa8-42a8-aeb4-bf2e2c22d4e8}" enabled="0" method="" siteId="{6f0b9487-4fa8-42a8-aeb4-bf2e2c22d4e8}" removed="1"/>
</clbl:labelList>
</file>

<file path=docProps/app.xml><?xml version="1.0" encoding="utf-8"?>
<Properties xmlns="http://schemas.openxmlformats.org/officeDocument/2006/extended-properties" xmlns:vt="http://schemas.openxmlformats.org/officeDocument/2006/docPropsVTypes">
  <Template>Normal.dotm</Template>
  <TotalTime>66</TotalTime>
  <Pages>15</Pages>
  <Words>33196</Words>
  <Characters>182579</Characters>
  <Application>Microsoft Office Word</Application>
  <DocSecurity>0</DocSecurity>
  <Lines>1521</Lines>
  <Paragraphs>430</Paragraphs>
  <ScaleCrop>false</ScaleCrop>
  <HeadingPairs>
    <vt:vector size="8" baseType="variant">
      <vt:variant>
        <vt:lpstr>Titre</vt:lpstr>
      </vt:variant>
      <vt:variant>
        <vt:i4>1</vt:i4>
      </vt:variant>
      <vt:variant>
        <vt:lpstr>Title</vt:lpstr>
      </vt:variant>
      <vt:variant>
        <vt:i4>1</vt:i4>
      </vt:variant>
      <vt:variant>
        <vt:lpstr>Titolo</vt:lpstr>
      </vt:variant>
      <vt:variant>
        <vt:i4>1</vt:i4>
      </vt:variant>
      <vt:variant>
        <vt:lpstr>Titel</vt:lpstr>
      </vt:variant>
      <vt:variant>
        <vt:i4>1</vt:i4>
      </vt:variant>
    </vt:vector>
  </HeadingPairs>
  <TitlesOfParts>
    <vt:vector size="4" baseType="lpstr">
      <vt:lpstr/>
      <vt:lpstr/>
      <vt:lpstr/>
      <vt:lpstr/>
    </vt:vector>
  </TitlesOfParts>
  <Company>CHU Toulouse</Company>
  <LinksUpToDate>false</LinksUpToDate>
  <CharactersWithSpaces>215345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CIFUENTES CASTRO Erika Alejandra</dc:creator>
  <cp:keywords/>
  <dc:description/>
  <cp:lastModifiedBy>Marie </cp:lastModifiedBy>
  <cp:revision>10</cp:revision>
  <cp:lastPrinted>2025-02-07T14:15:00Z</cp:lastPrinted>
  <dcterms:created xsi:type="dcterms:W3CDTF">2026-05-19T13:42:00Z</dcterms:created>
  <dcterms:modified xsi:type="dcterms:W3CDTF">2026-05-20T07:59:00Z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id="WLpr2PlV"/&gt;&lt;style id="http://www.zotero.org/styles/european-journal-of-epidemiology"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